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505</w:t>
      </w:r>
    </w:p>
    <w:p>
      <w:r>
        <w:t>## IPC Section 505: Statements Conducing to Public Mischief - A Detailed Analysis</w:t>
        <w:br/>
        <w:br/>
        <w:t>Section 505 of the Indian Penal Code (IPC) deals with statements conducing to public mischief.  It addresses a wide range of offenses relating to the publication or circulation of statements, reports, or rumors with the potential to incite or encourage various forms of public disorder, including violence, breaches of peace, and disharmony between different classes of citizens. The section is designed to safeguard public tranquility and maintain social order by criminalizing the dissemination of information likely to cause public mischief.  This detailed analysis will delve into the nuances of Section 505, exploring its various clauses, ingredients, exceptions, punishments, and relevant case laws.</w:t>
        <w:br/>
        <w:br/>
        <w:t>**I. The Text of Section 505:**</w:t>
        <w:br/>
        <w:br/>
        <w:t>Section 505 of the IPC is divided into three sub-sections, each addressing a specific type of offense:</w:t>
        <w:br/>
        <w:br/>
        <w:t>**(1) 505(1): Statements conducing to public mischief:**</w:t>
        <w:br/>
        <w:br/>
        <w:t>&gt; Whoever makes, publishes or circulates any statement, rumour or report,—</w:t>
        <w:br/>
        <w:br/>
        <w:t>&gt; (a) with intent to cause, or which is likely to cause, any officer, soldier, sailor or airman in the Army, Navy or Air Force of India to mutiny or otherwise disregard or fail in his duty as such; or</w:t>
        <w:br/>
        <w:br/>
        <w:t>&gt; (b) with intent to cause, or which is likely to cause, fear or alarm to the public or to any section of the public whereby any person may be induced to commit an offence against the State or against the public tranquility; or</w:t>
        <w:br/>
        <w:br/>
        <w:t>&gt; (c) with intent to incite, or which is likely to incite, any class or community of persons to commit any offence against any other class or community of persons,</w:t>
        <w:br/>
        <w:br/>
        <w:t>&gt; shall be punished with imprisonment which may extend to three years, or with fine, or with both.</w:t>
        <w:br/>
        <w:br/>
        <w:t>**(2) 505(2): Statements creating or promoting enmity, hatred or ill-will between classes:**</w:t>
        <w:br/>
        <w:br/>
        <w:t>&gt; Whoever makes, publishes or circulates any statement or report containing rumour or alarming news with intent to create or promote, or which is likely to create or promote, on grounds of religion, race, place of birth, residence, language, caste or community or any other ground whatsoever, feelings of enmity, hatred or ill-will between different religious, racial, language or regional groups or castes or communities, shall be punished with imprisonment which may extend to three years, or with fine, or with both.</w:t>
        <w:br/>
        <w:br/>
        <w:t>**(3) 505(3): Offences under sub-section (2) committed in place of worship, etc.:**</w:t>
        <w:br/>
        <w:br/>
        <w:t>&gt; Whoever commits an offence specified in sub-section (2) in any place of worship or in any assembly engaged in the performance of religious worship or religious ceremonies, shall be punished with imprisonment which may extend to five years and shall also be liable to fine.</w:t>
        <w:br/>
        <w:br/>
        <w:br/>
        <w:t>**II. Ingredients of the Offense:**</w:t>
        <w:br/>
        <w:br/>
        <w:t>**A. 505(1):**</w:t>
        <w:br/>
        <w:br/>
        <w:t>1. **Actus Reus:** Making, publishing, or circulating a statement, rumour, or report.  This includes any form of communication, written, oral, or visual, capable of reaching a target audience.</w:t>
        <w:br/>
        <w:br/>
        <w:t>2. **Mens Rea (Intention/Likelihood):**</w:t>
        <w:br/>
        <w:br/>
        <w:t xml:space="preserve">    * **Clause (a):**  Intent to cause, or likelihood of causing, mutiny, disregard, or failure in duty among armed forces personnel.</w:t>
        <w:br/>
        <w:br/>
        <w:t xml:space="preserve">    * **Clause (b):** Intent to cause, or likelihood of causing, fear or alarm to the public or a section thereof, leading to commission of an offense against the State or public tranquility.</w:t>
        <w:br/>
        <w:br/>
        <w:t xml:space="preserve">    * **Clause (c):** Intent to incite, or likelihood of inciting, one class/community to commit offenses against another.</w:t>
        <w:br/>
        <w:br/>
        <w:t>3. **Causation (Not Essential):**  The actual occurrence of mutiny, fear, alarm, or inter-community offense is not required for conviction. The potential or likelihood of such consequences suffices.</w:t>
        <w:br/>
        <w:br/>
        <w:t>**B. 505(2):**</w:t>
        <w:br/>
        <w:br/>
        <w:t>1. **Actus Reus:** Making, publishing, or circulating a statement or report containing rumor or alarming news.</w:t>
        <w:br/>
        <w:br/>
        <w:t>2. **Mens Rea (Intention/Likelihood):** Intent to create or promote, or likelihood of creating or promoting, feelings of enmity, hatred, or ill-will between different groups based on religion, race, place of birth, residence, language, caste, community, or any other ground.</w:t>
        <w:br/>
        <w:br/>
        <w:t>**C. 505(3):**</w:t>
        <w:br/>
        <w:br/>
        <w:t>1. **Actus Reus:** Commission of the offense under 505(2).</w:t>
        <w:br/>
        <w:br/>
        <w:t>2. **Context:**  The offense is committed in a place of worship or during religious assembly.</w:t>
        <w:br/>
        <w:br/>
        <w:br/>
        <w:t>**III. Essential Elements for Prosecution:**</w:t>
        <w:br/>
        <w:br/>
        <w:t>1. **Public Order Element:** The statement must have the potential to disrupt public order or tranquility.</w:t>
        <w:br/>
        <w:br/>
        <w:t>2. **Intent/Likelihood:**  The prosecution must establish either the intent of the accused to cause the specified mischief or demonstrate the likelihood of such mischief arising from the statement.</w:t>
        <w:br/>
        <w:br/>
        <w:t>3. **Dissemination:** The statement must be made, published, or circulated, implying communication to an audience.</w:t>
        <w:br/>
        <w:br/>
        <w:t>4. **Target Audience (505(1)(a) and (c)):**  Specific target groups are identified in these clauses – armed forces personnel and different classes/communities respectively.</w:t>
        <w:br/>
        <w:br/>
        <w:t>5. **Grounds of Enmity (505(2)):** The statement must incite enmity, hatred, or ill-will based on specified grounds like religion, race, etc.</w:t>
        <w:br/>
        <w:br/>
        <w:br/>
        <w:t>**IV. Defenses and Exceptions:**</w:t>
        <w:br/>
        <w:br/>
        <w:t>1. **Truth with Good Faith (for Public Good):**  Truthful statements made in good faith for the public good may be a defense, especially under 505(1).</w:t>
        <w:br/>
        <w:br/>
        <w:t>2. **Fair Criticism:**  Fair and reasonable criticism of government policies or actions, without inciting to violence or public disorder, may be permissible.</w:t>
        <w:br/>
        <w:br/>
        <w:t>3. **Lack of Mens Rea:**  If the accused can establish that they lacked the requisite intent or that the statement was not likely to cause the specified mischief, they can avoid conviction.</w:t>
        <w:br/>
        <w:br/>
        <w:t>4. **No Publication/Circulation:**  If the statement was not made public or circulated, the offense is not complete.</w:t>
        <w:br/>
        <w:br/>
        <w:br/>
        <w:t>**V. Punishment:**</w:t>
        <w:br/>
        <w:br/>
        <w:t>* **505(1):** Imprisonment up to three years, fine, or both.</w:t>
        <w:br/>
        <w:br/>
        <w:t>* **505(2):** Imprisonment up to three years, fine, or both.</w:t>
        <w:br/>
        <w:br/>
        <w:t>* **505(3):** Imprisonment up to five years and fine.</w:t>
        <w:br/>
        <w:br/>
        <w:br/>
        <w:t>**VI. Case Laws:**</w:t>
        <w:br/>
        <w:br/>
        <w:t>Several landmark judgments have shaped the interpretation and application of Section 505.  These include:</w:t>
        <w:br/>
        <w:br/>
        <w:t>* **Bilal Ahmed Kaloo vs. State of Andhra Pradesh (1997):** The Supreme Court clarified that mere criticism of the government or its policies does not constitute an offense under Section 505 unless it incites violence or public disorder.</w:t>
        <w:br/>
        <w:br/>
        <w:t>* **Ramji Lal Modi vs. State of U.P (1957):**  The court held that the intention to create disharmony or hatred is a crucial ingredient under Section 505(2).</w:t>
        <w:br/>
        <w:br/>
        <w:t>* **Babu Rao Patel vs. State of Maharashtra (1965):** This case emphasized the need to consider the context and likely impact of the statement in determining whether it falls under Section 505.</w:t>
        <w:br/>
        <w:br/>
        <w:br/>
        <w:t>**VII. Contemporary Relevance:**</w:t>
        <w:br/>
        <w:br/>
        <w:t>Section 505 remains highly relevant in the digital age, where the rapid spread of information through social media and other online platforms poses unique challenges to public order.  Its application to online content and the complexities of determining intent and likelihood in the online environment are subjects of ongoing debate and judicial scrutiny.</w:t>
        <w:br/>
        <w:br/>
        <w:br/>
        <w:t>**VIII. Conclusion:**</w:t>
        <w:br/>
        <w:br/>
        <w:t>Section 505 of the IPC is a crucial provision for maintaining public order and preventing the spread of harmful statements that could incite violence, create disharmony, or disrupt public tranquility.  Its interpretation requires a careful balancing of freedom of expression with the need to protect society from the potential harms of inflammatory speech.  The increasing prevalence of online communication necessitates a nuanced and evolving understanding of Section 505 to address the unique challenges posed by the digital age.  The courts continue to play a vital role in shaping its application and ensuring that it is used to protect public order while safeguarding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