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67</w:t>
      </w:r>
    </w:p>
    <w:p>
      <w:r>
        <w:t>## Section 67 of the Indian Penal Code: A Deep Dive into Publishing or Transmitting Obscene Material in Electronic Form</w:t>
        <w:br/>
        <w:br/>
        <w:t>Section 67 of the Information Technology Act, 2000, deals with the publication or transmission of obscene material in electronic form.  It is a crucial provision in the Indian legal framework aimed at regulating online content and preventing the spread of material deemed obscene, lascivious, or appealing to the prurient interest. This essay will delve into the various aspects of Section 67, including its legislative intent, key elements, judicial interpretations, criticisms, and comparisons with related laws.</w:t>
        <w:br/>
        <w:br/>
        <w:t>**Legislative Intent and Background:**</w:t>
        <w:br/>
        <w:br/>
        <w:t>The Information Technology Act, 2000, was enacted to address the challenges posed by the rapid growth of the internet and digital technologies.  Section 67, specifically, was introduced to curb the dissemination of obscene content through electronic means, recognizing the potential for such material to cause harm to individuals and society. The provision acknowledges the unique characteristics of the internet, such as its accessibility, anonymity, and rapid dissemination capabilities, which can exacerbate the negative impacts of obscene content. The intent behind Section 67 is to protect individuals, particularly children and vulnerable groups, from exposure to harmful online content and to maintain public morality.</w:t>
        <w:br/>
        <w:br/>
        <w:t>**Key Elements of Section 67:**</w:t>
        <w:br/>
        <w:br/>
        <w:t>To establish an offense under Section 67, the prosecution must prove the following elements beyond reasonable doubt:</w:t>
        <w:br/>
        <w:br/>
        <w:t>1. **Publication or Transmission:** The accused must have published or transmitted material in electronic form. This includes uploading, downloading, emailing, sharing on social media, or any other form of electronic dissemination.  The act of mere possession of obscene material is not sufficient to attract Section 67.  However, possession with the intent to publish or transmit can be considered as preparation for the offense.</w:t>
        <w:br/>
        <w:br/>
        <w:t>2. **Electronic Form:** The material must be in electronic form, which includes any information generated, sent, received, or stored in electronic, magnetic, optical, or other similar devices.  This encompasses a wide range of media, such as text, images, videos, audio files, and software.</w:t>
        <w:br/>
        <w:br/>
        <w:t>3. **Obscene Material:** The crux of Section 67 lies in the definition of "obscene."  The Act itself does not define obscenity.  However, Indian courts have relied on various tests established through precedents to determine what constitutes obscene material. The most commonly applied test is the "Hicklin test," derived from English common law, which focuses on the tendency of the material to deprave and corrupt those whose minds are open to such immoral influences. Courts have also considered the "community standards test," which assesses the material's acceptability based on the prevailing standards of the community.  Factors considered include the context, the intended audience, and the literary, artistic, or scientific merit of the material.  The definition of obscenity is inherently subjective and context-dependent, leading to challenges in its consistent application.</w:t>
        <w:br/>
        <w:br/>
        <w:t>4. **Knowledge of Illegality:** While the statute does not explicitly mention *mens rea* (guilty mind), courts have generally interpreted Section 67 as requiring the accused to have knowledge that the material being published or transmitted is obscene.  This means the prosecution must demonstrate that the accused was aware of the nature of the content and intended to disseminate it.  Accidental or unintentional transmission may not attract liability under this section.</w:t>
        <w:br/>
        <w:br/>
        <w:t>**Punishment under Section 67:**</w:t>
        <w:br/>
        <w:br/>
        <w:t>Section 67 prescribes a punishment of imprisonment for a term which may extend to five years and with fine which may extend to one lakh rupees for the first conviction.  For subsequent convictions, the imprisonment term can extend to seven years and the fine to five lakh rupees. The severity of the punishment highlights the legislature's concern about the potential harm caused by online obscenity.</w:t>
        <w:br/>
        <w:br/>
        <w:t>**Judicial Interpretations and Case Laws:**</w:t>
        <w:br/>
        <w:br/>
        <w:t>Several landmark judgments have shaped the interpretation and application of Section 67.  The *Shreya Singhal v. Union of India* case struck down Section 66A of the IT Act, which dealt with offensive messages, for being unconstitutionally vague and overly broad. While not directly related to Section 67, this judgment emphasized the importance of clear and specific definitions in criminal law, particularly in the context of online speech.</w:t>
        <w:br/>
        <w:br/>
        <w:t>Other cases have focused on the definition of obscenity and the application of various tests.  Courts have consistently reiterated the need to consider the context, the intended audience, and the contemporary standards of the community while determining whether material is obscene. They have also emphasized that mere nudity or depictions of sexual acts do not automatically qualify as obscene.</w:t>
        <w:br/>
        <w:br/>
        <w:t>**Criticisms and Challenges:**</w:t>
        <w:br/>
        <w:br/>
        <w:t>Section 67 has faced criticism for its vague definition of obscenity, which leaves room for subjective interpretation and potential misuse.  Concerns have been raised about the chilling effect this provision might have on freedom of expression and artistic creativity.  The lack of clear guidelines for determining obscenity can lead to arbitrary enforcement and censorship.</w:t>
        <w:br/>
        <w:br/>
        <w:t>Another challenge lies in the rapidly evolving nature of technology and online content.  What might be considered obscene today may not be viewed the same way in the future.  The law needs to be flexible and adaptable to these changes while ensuring that it remains effective in addressing the harms posed by online obscenity.</w:t>
        <w:br/>
        <w:br/>
        <w:t>**Comparison with Related Laws:**</w:t>
        <w:br/>
        <w:br/>
        <w:t>Section 67 of the IT Act can be compared with other laws that regulate obscene content, such as Section 292 of the Indian Penal Code, which deals with the sale, distribution, and exhibition of obscene books and other materials. While Section 292 predates the digital age, it shares similarities with Section 67 in its objective of curbing the spread of obscene material.  However, Section 67 specifically addresses the challenges posed by electronic media.</w:t>
        <w:br/>
        <w:br/>
        <w:t>**Conclusion:**</w:t>
        <w:br/>
        <w:br/>
        <w:t>Section 67 of the Information Technology Act plays a crucial role in regulating online content and preventing the spread of obscene material. While the provision is well-intentioned, its vague definition of obscenity poses challenges in its consistent and equitable application.  The need for clear guidelines, coupled with a contextual and nuanced approach to determining obscenity, is crucial to ensure that Section 67 effectively addresses online harms without unduly restricting freedom of expression.  Ongoing judicial interpretation and legislative amendments are essential to adapt the law to the evolving landscape of the internet and ensure its continued relevance in protecting individuals and society from the negative impacts of online obscenity. Further discussions are needed to strike a balance between protecting individuals from harmful content and upholding the fundamental right to freedom of expression in the digital age. The evolution of societal norms and technological advancements necessitate continuous review and refinement of  Section 67 to ensure its effectiveness and avoid arbitrary censorship.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