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145: Joining or continuing in unlawful assembly, knowing it has been commanded to disperse.</w:t>
      </w:r>
    </w:p>
    <w:p>
      <w:r>
        <w:t>## IPC Section 145: Joining or Continuing in Unlawful Assembly, Knowing It Has Been Commanded to Disperse - A Detailed Explanation</w:t>
        <w:br/>
        <w:br/>
        <w:t>Section 145 of the Indian Penal Code, 1860, addresses a specific scenario related to unlawful assemblies: the act of joining or continuing to participate in an assembly after it has been lawfully commanded to disperse. This section recognizes the importance of complying with lawful orders from authorities to maintain public order and penalizes those who defy such orders, escalating the potential for disruption and violence. The section reads:</w:t>
        <w:br/>
        <w:br/>
        <w:t>"Whoever joins or continues in an unlawful assembly, knowing that such unlawful assembly has been commanded to disperse, shall be punished with imprisonment of either description for a term which may extend to two years, or with fine, or with both."</w:t>
        <w:br/>
        <w:br/>
        <w:t>Let's break down the key components of Section 145:</w:t>
        <w:br/>
        <w:br/>
        <w:t>**1. "Joins or continues in an unlawful assembly":** This phrase establishes the foundational element of the offense: the individual must be part of an assembly that qualifies as "unlawful" as defined in Section 141.  The individual's participation can take the form of either joining the assembly or continuing to be a part of it after a dispersal order has been issued.</w:t>
        <w:br/>
        <w:br/>
        <w:t>**2. "Knowing that such unlawful assembly has been commanded to disperse":** This crucial element establishes the *mens rea* (guilty mind) requirement. The individual must be aware that a lawful order to disperse has been issued to the assembly.  This knowledge implies an understanding that the authorities have deemed the assembly unlawful and are exercising their power to prevent further disruption or violence.  The knowledge need not be direct; it can be inferred from the circumstances, such as widespread announcements, visible presence of law enforcement, or the general behavior of the crowd.</w:t>
        <w:br/>
        <w:br/>
        <w:t>**3. "Commanded to disperse":**  This phrase refers to a lawful order issued by a competent authority directing the assembly to disband.  The order must be clear, unambiguous, and communicated in a manner reasonably calculated to reach the members of the assembly.  The specific procedures for issuing such orders may be governed by local laws and police regulations.</w:t>
        <w:br/>
        <w:br/>
        <w:t>**4. "Punishment":** The prescribed punishment for this offense is imprisonment of either description (rigorous or simple) for a term which may extend to two years, or with fine, or with both. This enhanced penalty compared to mere membership in an unlawful assembly (Section 143) reflects the deliberate defiance of a lawful order and the increased risk to public order.</w:t>
        <w:br/>
        <w:br/>
        <w:t>**Essential Elements for Establishing an Offense under Section 145:**</w:t>
        <w:br/>
        <w:br/>
        <w:t>* **Presence in an Unlawful Assembly:**  The assembly must meet the criteria for being "unlawful" as defined in Section 141.</w:t>
        <w:br/>
        <w:t>* **Lawful Order to Disperse:** A competent authority must have issued a clear and unambiguous order directing the assembly to disband.</w:t>
        <w:br/>
        <w:t>* **Knowledge of Dispersal Order:** The individual must be aware that the dispersal order has been issued.</w:t>
        <w:br/>
        <w:t>* **Joining or Continuing after Order:** The individual must have joined the assembly or continued to be part of it *after* becoming aware of the dispersal order.</w:t>
        <w:br/>
        <w:br/>
        <w:br/>
        <w:t>**Evidentiary Challenges and Defenses:**</w:t>
        <w:br/>
        <w:br/>
        <w:t>Proving an offense under Section 145 requires establishing all four elements mentioned above.  The prosecution might present evidence such as eyewitness testimony, video recordings, official records of the dispersal order, and the individual's statements to demonstrate their knowledge of the order and their continued presence in the assembly.</w:t>
        <w:br/>
        <w:br/>
        <w:t>Possible defenses against a charge under Section 145 include:</w:t>
        <w:br/>
        <w:br/>
        <w:t>* **Lack of Knowledge:** The individual might argue they were unaware of the dispersal order.  This defense could be based on factors such as being on the periphery of the assembly, loud noise preventing them from hearing the order, or a genuine misunderstanding.</w:t>
        <w:br/>
        <w:t>* **Inability to Leave:** The individual might claim they were unable to leave the assembly despite knowing about the dispersal order due to circumstances beyond their control, such as being trapped within a dense crowd or facing physical obstruction.  This defense would require compelling evidence demonstrating the impossibility of leaving.</w:t>
        <w:br/>
        <w:t>* **Assembly Not Unlawful:**  The individual could challenge the prosecution's characterization of the assembly as unlawful, negating a fundamental element of the offense.</w:t>
        <w:br/>
        <w:t>* **Order Not Lawful:**  The individual might argue that the dispersal order itself was not lawful, perhaps due to procedural irregularities or lack of authority on the part of the issuing officer. This defense would require a strong legal basis to succeed.</w:t>
        <w:br/>
        <w:br/>
        <w:br/>
        <w:br/>
        <w:t>**Relevance in Contemporary Context:**</w:t>
        <w:br/>
        <w:br/>
        <w:t>Section 145 remains highly relevant in maintaining public order and managing potentially volatile situations, especially during protests, demonstrations, and other large gatherings.  It provides law enforcement agencies with a crucial tool to enforce dispersal orders and prevent unlawful assemblies from escalating into violence or chaos.  By penalizing defiance of lawful orders, it reinforces the importance of respecting authority and maintaining peace during public gatherings.</w:t>
        <w:br/>
        <w:br/>
        <w:br/>
        <w:t>**Distinction from Other Offenses:**</w:t>
        <w:br/>
        <w:br/>
        <w:t>It's essential to distinguish Section 145 from offenses related to rioting (Section 146-148).  While continuing in an unlawful assembly after a dispersal order might be a precursor to rioting, Section 145 specifically focuses on the defiance of the order itself, not necessarily engaging in violent or destructive acts. Rioting and other related offenses are covered under separate provisions with more severe penalties.</w:t>
        <w:br/>
        <w:br/>
        <w:br/>
        <w:t>In conclusion, Section 145 of the IPC provides a specific legal mechanism for addressing the challenge of managing unlawful assemblies and enforcing lawful orders to disperse. By penalizing the act of joining or continuing in an assembly after it has been commanded to disperse, it reinforces the importance of respecting legal authority, maintaining public order, and preventing potentially dangerous situations from escalating.  This section remains a vital tool for law enforcement agencies in managing public gatherings and upholding peace and security.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