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146: Rioting.</w:t>
      </w:r>
    </w:p>
    <w:p>
      <w:r>
        <w:t>## IPC Section 146: Rioting - A Detailed Explanation</w:t>
        <w:br/>
        <w:br/>
        <w:t>Section 146 of the Indian Penal Code, 1860, defines the offense of "rioting," a serious crime related to public disorder and violence.  It builds upon the concept of unlawful assembly, adding the element of force or violence used by the members of the assembly. Rioting represents a significant escalation from mere membership in an unlawful assembly, posing a direct threat to public safety and peace.  The section reads:</w:t>
        <w:br/>
        <w:br/>
        <w:t>"Whenever force or violence is used by an unlawful assembly, or by any member thereof, in prosecution of the common object of such assembly, every member of such assembly is guilty of the offence of rioting."</w:t>
        <w:br/>
        <w:br/>
        <w:br/>
        <w:t>Let's analyze the key components of Section 146:</w:t>
        <w:br/>
        <w:br/>
        <w:t>**1. "Force or violence":** This is the crucial element that distinguishes rioting from unlawful assembly.  "Force" implies the use of physical power or coercion to compel someone to do something they are unwilling to do or to restrain them from doing something they are entitled to do. "Violence" refers to the use of physical force with the intent to cause harm or injury.  The force or violence used must be in furtherance of the common object of the unlawful assembly.</w:t>
        <w:br/>
        <w:br/>
        <w:t>**2. "By an unlawful assembly, or by any member thereof":** This phrase clarifies that the force or violence can be used either by the entire assembly acting collectively or by any individual member of the assembly.  The crucial point is that the force or violence must be used *in prosecution of the common object* of the unlawful assembly.  Even if only one member resorts to force or violence, all members who share the common object and are part of the assembly at that time are guilty of rioting.</w:t>
        <w:br/>
        <w:br/>
        <w:t>**3. "In prosecution of the common object of such assembly":** This phrase establishes the crucial link between the use of force or violence and the purpose of the unlawful assembly. The force or violence employed must be directly related to achieving the assembly's common object.  If the force or violence is unrelated to the common object or arises from a purely personal motive, it might constitute a separate offense but not necessarily rioting.</w:t>
        <w:br/>
        <w:br/>
        <w:t>**4. "Every member of such assembly is guilty of the offence of rioting":** This phrase establishes the principle of joint liability for rioting.  All members of the unlawful assembly who share the common object and are present when force or violence is used are guilty of rioting, regardless of whether they personally used force or violence.  This principle recognizes the collective nature of the offense and the shared responsibility of all members for the actions of the group.</w:t>
        <w:br/>
        <w:br/>
        <w:br/>
        <w:t>**Essential Elements for Establishing the Offense of Rioting:**</w:t>
        <w:br/>
        <w:br/>
        <w:t>* **Unlawful Assembly:** The gathering must meet the criteria of an unlawful assembly as defined in Section 141.</w:t>
        <w:br/>
        <w:t>* **Use of Force or Violence:** Force or violence must be used by the assembly collectively or by any of its members.</w:t>
        <w:br/>
        <w:t>* **Connection to Common Object:**  The force or violence must be employed in furtherance of the common object of the unlawful assembly.</w:t>
        <w:br/>
        <w:t>* **Membership in the Assembly:**  The accused must have been a member of the unlawful assembly at the time the force or violence was used.</w:t>
        <w:br/>
        <w:t>* **Knowledge of Common Object:** The accused must be aware of the common object of the unlawful assembly.</w:t>
        <w:br/>
        <w:br/>
        <w:br/>
        <w:t>**Evidentiary Challenges and Defenses:**</w:t>
        <w:br/>
        <w:br/>
        <w:t>Proving the offense of rioting requires establishing all the elements mentioned above.  The prosecution might rely on evidence such as eyewitness testimony, video recordings, medical evidence of injuries, and the overall context of the incident to demonstrate the use of force or violence and its connection to the common object of the assembly.</w:t>
        <w:br/>
        <w:br/>
        <w:t>Possible defenses against a charge of rioting include:</w:t>
        <w:br/>
        <w:br/>
        <w:t>* **No Force or Violence:**  The individual might argue that no force or violence was used by the assembly or its members.  They might claim that the gathering was peaceful and that any alleged acts of violence were isolated incidents unrelated to the common object.</w:t>
        <w:br/>
        <w:t>* **No Connection to Common Object:** The individual might concede that force or violence was used but argue that it was not in furtherance of the common object of the assembly. They might claim it was a result of personal disputes or other unrelated factors.</w:t>
        <w:br/>
        <w:t>* **Not a Member of the Assembly:**  The individual might argue they were not a member of the unlawful assembly at the time the force or violence was used. They might claim they were merely bystanders or that they left the assembly before any violence occurred.</w:t>
        <w:br/>
        <w:t>* **Lack of Knowledge of Common Object:**  The individual might claim they were unaware of the common object of the assembly, arguing that their presence was for a different, lawful purpose.</w:t>
        <w:br/>
        <w:t>* **Right of Private Defense:** In extremely rare circumstances, an individual might argue that the force they used was justified as an act of self-defense or defense of another person. The circumstances would need to clearly demonstrate a genuine and imminent threat justifying the use of force.</w:t>
        <w:br/>
        <w:br/>
        <w:br/>
        <w:br/>
        <w:t>**Punishment:**  The punishment for rioting is prescribed in Section 147 of the IPC, which provides for imprisonment up to two years, a fine, or both.</w:t>
        <w:br/>
        <w:br/>
        <w:br/>
        <w:br/>
        <w:t>**Relevance in Contemporary Context:**</w:t>
        <w:br/>
        <w:br/>
        <w:t>Section 146 remains highly relevant in maintaining public order and addressing incidents of mob violence or civil unrest. It provides a legal framework for holding individuals accountable for their participation in violent gatherings, even if they did not personally resort to violence. This section, along with related provisions in the IPC, empowers law enforcement agencies to prevent and control riots and other forms of public disorder.</w:t>
        <w:br/>
        <w:br/>
        <w:br/>
        <w:t>**Distinction from Affray:**</w:t>
        <w:br/>
        <w:br/>
        <w:t>It is important to distinguish rioting from "affray" (Section 159 IPC), which involves fighting in a public place that disturbs the peace.  While both involve public disorder, rioting is connected to an unlawful assembly with a common object, while affray focuses on the act of fighting itself, regardless of any underlying common object.</w:t>
        <w:br/>
        <w:br/>
        <w:br/>
        <w:t>In conclusion, Section 146 of the IPC provides a crucial legal definition of rioting, emphasizing the use of force or violence in furtherance of the common object of an unlawful assembly.  By holding all members of the assembly accountable for such violence, it reinforces the importance of peaceful conduct and strengthens the mechanisms for maintaining public order and preventing large-scale public disorder. Its continued relevance highlights its significance in addressing the ongoing challenges of managing public gatherings and safeguarding peace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