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147: Punishment for rioting.</w:t>
      </w:r>
    </w:p>
    <w:p>
      <w:r>
        <w:t>## IPC Section 147: Punishment for Rioting - A Detailed Explanation</w:t>
        <w:br/>
        <w:br/>
        <w:t>Section 147 of the Indian Penal Code, 1860, specifies the punishment for the offense of rioting, as defined in Section 146.  This section plays a crucial role in deterring and penalizing acts of collective violence that disrupt public order and endanger public safety.  While concise, the section carries significant implications for maintaining peace and security.  It reads:</w:t>
        <w:br/>
        <w:br/>
        <w:t>"Whoever is guilty of rioting, shall be punished with imprisonment of either description for a term which may extend to two years, or with fine, or with both."</w:t>
        <w:br/>
        <w:br/>
        <w:t>This seemingly simple statement has profound implications within the legal framework surrounding public order. Let's unpack its components and explore its significance:</w:t>
        <w:br/>
        <w:br/>
        <w:t>**1. "Whoever is guilty of rioting":** This phrase directly links Section 147 to the definition of "rioting" provided in Section 146.  It clarifies that the punishment prescribed here applies specifically to individuals who meet the criteria for rioting, namely, being a member of an unlawful assembly that uses force or violence in prosecution of its common object.</w:t>
        <w:br/>
        <w:br/>
        <w:t>**2. "Imprisonment of either description for a term which may extend to two years":**  This specifies the primary form of punishment: imprisonment.  "Either description" refers to the classification of imprisonment as rigorous (involving hard labor) or simple. The court has the discretion to determine the type of imprisonment based on the specific circumstances of the case, including the severity of the violence, the role of the individual in the riot, and any previous criminal record. The maximum term of imprisonment is two years, reflecting the seriousness of the offense and its potential to cause harm and disruption.</w:t>
        <w:br/>
        <w:br/>
        <w:t>**3. "Fine":** This alternative or additional punishment empowers the court to impose a monetary penalty on the convicted individual. The amount of the fine is not fixed in this section and is left to the judicial discretion, taking into account factors such as the severity of the riot, the individual's financial capacity, and the overall circumstances of the case.</w:t>
        <w:br/>
        <w:br/>
        <w:t>**4. "Or with both":** This provision allows the court to impose both imprisonment and a fine.  This flexibility in sentencing provides a wider range of options, allowing for a more tailored and effective response to the specific details of each case.</w:t>
        <w:br/>
        <w:br/>
        <w:br/>
        <w:t>**Implications and Interpretation:**</w:t>
        <w:br/>
        <w:br/>
        <w:t>* **Deterrence:** By prescribing a punishment of up to two years imprisonment, Section 147 aims to deter individuals from participating in riots and engaging in collective violence.  The potential for imprisonment serves as a significant disincentive against joining or continuing to be part of a riotous assembly.</w:t>
        <w:br/>
        <w:br/>
        <w:t>* **Maintaining Public Order:**  This section plays a crucial role in maintaining public order and preventing outbreaks of violence that can disrupt communities and endanger lives and property.  By holding individuals accountable for their participation in riots, it reinforces the importance of peaceful conduct and respect for the law.</w:t>
        <w:br/>
        <w:br/>
        <w:t>* **Proportionality of Punishment:** The punishment prescribed in Section 147, while significant, is generally less severe than that for more aggravated offenses like murder, culpable homicide, or grievous hurt.  This reflects the principle of proportionality, recognizing that while rioting is a serious crime, it does not necessarily involve the same level of individual culpability as offenses resulting in death or severe injury.  However, if specific acts of violence during a riot cause such harm, individuals can be charged with separate offenses accordingly.</w:t>
        <w:br/>
        <w:br/>
        <w:t>* **Judicial Discretion:** The provision for both imprisonment and fines, as well as the flexibility in determining the type and duration of imprisonment, gives the court considerable discretion in sentencing.  This allows for a more nuanced approach to punishment, taking into account the specific circumstances of the riot, the role of the individual, and any mitigating or aggravating factors.</w:t>
        <w:br/>
        <w:br/>
        <w:br/>
        <w:br/>
        <w:t>**Evidentiary Considerations:**</w:t>
        <w:br/>
        <w:br/>
        <w:t>To secure a conviction under Section 147, the prosecution must first prove that the individual is guilty of rioting as defined in Section 146.  This requires demonstrating that the individual was a member of an unlawful assembly that used force or violence in pursuit of its common object.  Evidence such as eyewitness testimony, video footage, medical reports of injuries, and the overall context of the incident are crucial in establishing the elements of rioting.</w:t>
        <w:br/>
        <w:br/>
        <w:br/>
        <w:t>**Relationship with Other Offenses:**</w:t>
        <w:br/>
        <w:br/>
        <w:t>Section 147 should be viewed in conjunction with other related offenses in the IPC.  Rioting can be a precursor to more serious crimes, and individuals involved in a riot can face additional charges depending on their specific actions. For example, if death or grievous hurt is caused during a riot, individuals can be charged with culpable homicide or grievous hurt, respectively, in addition to rioting.  Similarly, if specific property is damaged during a riot, individuals can be charged with mischief.</w:t>
        <w:br/>
        <w:br/>
        <w:br/>
        <w:br/>
        <w:t>**Relevance in Contemporary Context:**</w:t>
        <w:br/>
        <w:br/>
        <w:t>Section 147 remains highly relevant in modern India, where instances of communal violence, political protests turning violent, and other forms of public disorder continue to occur.  This section provides a crucial legal tool for law enforcement agencies to address such situations, hold individuals accountable for their participation in riots, and deter future outbreaks of violence.</w:t>
        <w:br/>
        <w:br/>
        <w:br/>
        <w:t>In conclusion, Section 147 of the IPC plays a critical role in maintaining public order and addressing the challenge of collective violence. By prescribing punishment for rioting, it reinforces the importance of peaceful conduct, strengthens the legal framework for managing public gatherings, and provides a mechanism for holding individuals accountable for their participation in disruptive and dangerous acts of collective violence.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