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153.1: Promoting enmity between different groups on grounds of religion, race, place of birth, residence. language, etc., and doing acts prejudicial to maintenance of harmony. Offence committed in place of worship, etc.</w:t>
      </w:r>
    </w:p>
    <w:p>
      <w:r>
        <w:t>## IPC Section 153A(1) Dissected: Promoting Enmity and Prejudicial Acts</w:t>
        <w:br/>
        <w:br/>
        <w:t>Section 153A(1) of the Indian Penal Code (IPC) is a crucial provision aimed at preserving social harmony and preventing discord based on sensitive grounds like religion, race, place of birth, residence, language, etc.  It addresses actions that promote enmity between different groups based on these grounds and acts that are prejudicial to the maintenance of harmony, specifically highlighting offenses committed in places of worship or assembly.  Understanding this section requires a detailed examination of its constituent elements, interpretations by courts, and its significance in the Indian context.</w:t>
        <w:br/>
        <w:br/>
        <w:t>**Core Elements of Section 153A(1):**</w:t>
        <w:br/>
        <w:br/>
        <w:t>The section can be broken down into the following core elements:</w:t>
        <w:br/>
        <w:br/>
        <w:t>1. **Promoting Enmity:** This involves actively fostering or encouraging feelings of hatred, hostility, or ill-will between different groups. It goes beyond mere criticism or disagreement and implies a deliberate attempt to incite animosity. The prosecution must establish that the words, signs, or representations used were likely to cause disharmony and incite violence between groups.</w:t>
        <w:br/>
        <w:br/>
        <w:t>2. **Grounds of Difference:** The enmity must be based on one or more of the grounds specified in the section, including religion, race, place of birth, residence, language, caste, community, or any other ground relating to a particular group's identity.  The inclusivity of "any other ground" demonstrates the legislature's intent to cover a wide range of potential sources of conflict.</w:t>
        <w:br/>
        <w:br/>
        <w:t>3. **Acts Prejudicial to Maintenance of Harmony:** This encompasses any action that is detrimental to peaceful coexistence and understanding between different groups.  It can include speeches, publications, gestures, or any other form of communication that could potentially disrupt public tranquility. This is a broader concept than promoting enmity, as it includes acts that may not directly incite hatred but still create an atmosphere conducive to conflict.</w:t>
        <w:br/>
        <w:br/>
        <w:t>4. **Place of Worship, etc.:** This clause adds a specific aggravating factor. When the offense is committed in a place of worship, assembly, or any other place where people from different groups are likely to congregate, the severity of the offense is considered higher. This reflects the legislature's recognition of the heightened sensitivity of such spaces and the potential for even minor incidents to escalate into large-scale disturbances.</w:t>
        <w:br/>
        <w:br/>
        <w:t>**Interpretations by Courts:**</w:t>
        <w:br/>
        <w:br/>
        <w:t>The judiciary has played a crucial role in shaping the interpretation of Section 153A(1). Some key principles that have emerged from judicial pronouncements include:</w:t>
        <w:br/>
        <w:br/>
        <w:t>* **Intention is relevant but not always essential:** While demonstrating the intention to promote enmity can strengthen the prosecution's case, it's not always a mandatory requirement for conviction. If the words or actions have a clear tendency to promote enmity, the accused can be held liable even if they claim to have had no such intention.</w:t>
        <w:br/>
        <w:t>* **The impact on the audience matters:**  Courts consider the likely impact of the words or actions on the target audience.  A statement that might be harmless in one context could be inflammatory in another. The judge must assess whether the speech or action was likely to incite violence or disturb public peace considering the specific circumstances.</w:t>
        <w:br/>
        <w:t>* **"Harmony" refers to public tranquility:** The term "harmony" has been interpreted broadly to encompass public order and tranquility. Any act that disrupts this peace, even indirectly, can be considered prejudicial to the maintenance of harmony.</w:t>
        <w:br/>
        <w:t>* **The context is crucial:**  The context in which the words or actions were uttered or performed is crucial to determining whether they constitute an offense under this section.  Factors like the prevailing social and political climate, the audience, and the history of relations between the groups involved are all taken into account.</w:t>
        <w:br/>
        <w:br/>
        <w:t>**Significance in the Indian Context:**</w:t>
        <w:br/>
        <w:br/>
        <w:t xml:space="preserve">India's diverse social fabric makes it vulnerable to conflicts arising from differences in religion, caste, language, and region.  Section 153A(1) serves as a vital legal tool to combat such fissiparous tendencies. It aims to prevent the spread of hatred and promote peaceful coexistence.  </w:t>
        <w:br/>
        <w:br/>
        <w:t>However, the application of this section has also faced criticism.  Concerns have been raised about its potential misuse to stifle legitimate dissent and curtail freedom of speech.  Striking a balance between preserving social harmony and safeguarding fundamental rights is a continuous challenge.  The judiciary plays a vital role in ensuring that the section is applied judiciously and does not become a tool for oppression.</w:t>
        <w:br/>
        <w:br/>
        <w:t>**Conclusion:**</w:t>
        <w:br/>
        <w:br/>
        <w:t>Section 153A(1) of the IPC is a complex provision with far-reaching implications for social harmony and freedom of expression.  It seeks to curb hate speech and actions that could incite violence or disrupt public peace. The courts have played a significant role in interpreting the provision and establishing guidelines for its application.  In the Indian context, this section holds immense significance, but its application needs to be carefully calibrated to avoid stifling legitimate dissent and to protect the fundamental right to freedom of speech.  The ongoing debate surrounding its use underscores the challenges inherent in balancing the competing interests of social harmony and individual liberty.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