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156: Liablility of agent of owner or occupier for whose benefit riot is committed.</w:t>
      </w:r>
    </w:p>
    <w:p>
      <w:r>
        <w:t>## IPC Section 156: Agent's Liability for Riots Benefiting Owners/Occupiers: A Comprehensive Analysis</w:t>
        <w:br/>
        <w:br/>
        <w:t>Section 156 of the Indian Penal Code (IPC) extends the principle of accountability for riots beyond the direct beneficiaries to their agents. This provision recognizes that landowners or occupiers might sometimes use intermediaries or agents to instigate or exploit riots for their benefit. By holding such agents liable, Section 156 aims to deter the manipulation of public unrest through intermediaries and strengthens the overall framework for riot prevention and control.</w:t>
        <w:br/>
        <w:br/>
        <w:t>**Dissecting the Elements of Section 156:**</w:t>
        <w:br/>
        <w:br/>
        <w:t>A clear understanding of Section 156 requires a breakdown of its key components:</w:t>
        <w:br/>
        <w:br/>
        <w:t>1. **Agent of an Owner or Occupier:** This refers to any person acting on behalf of or under the direction of the owner or occupier of land. This can include employees, managers, security personnel, or any other individual authorized to act on their behalf. The crucial element is the existence of an agency relationship between the agent and the owner/occupier.</w:t>
        <w:br/>
        <w:br/>
        <w:t>2. **Riot:** As in Section 155, this refers to a violent disturbance involving five or more persons, as defined in Section 146 of the IPC. The disturbance must involve the use of force or violence by an unlawful assembly.</w:t>
        <w:br/>
        <w:br/>
        <w:t>3. **Committed for the Benefit of the Owner or Occupier:**  The riot must be committed, at least in part, for the benefit of the owner or occupier of the land. This benefit can be financial, material, or of any other nature.  The prosecution must establish a clear link between the riot and the advantage accruing to the owner/occupier.</w:t>
        <w:br/>
        <w:br/>
        <w:t>4. **Agent's Knowledge:**  The agent must have knowledge that the riot is occurring or is about to occur. This knowledge can be actual or constructive, meaning that the agent either directly knew about the riot or should have known given the circumstances.  Mere suspicion is insufficient; a reasonable belief that a riot is occurring or is imminent is necessary.</w:t>
        <w:br/>
        <w:br/>
        <w:t>5. **Agent's Power to Prevent:**  The agent must have the power or authority to prevent or suppress the riot.  This power typically derives from the agent's relationship with the owner/occupier and their ability to influence or control the individuals involved in the riot.</w:t>
        <w:br/>
        <w:br/>
        <w:t>6. **Agent's Failure to Prevent:**  The offense under Section 156 is committed when the agent, having knowledge of the riot and the power to prevent it, intentionally fails to do so.  This implies a deliberate inaction despite awareness of the violent disturbance and the capacity to intervene.</w:t>
        <w:br/>
        <w:br/>
        <w:t>**The Rationale and Objectives of Section 156:**</w:t>
        <w:br/>
        <w:br/>
        <w:t>The inclusion of Section 156 in the IPC serves several important purposes:</w:t>
        <w:br/>
        <w:br/>
        <w:t>* **Addressing Indirect Incitement:**  Landowners or occupiers might sometimes instigate or exploit riots through intermediaries or agents to avoid direct involvement. Section 156 addresses this tactic by holding the agents accountable.</w:t>
        <w:br/>
        <w:t>* **Deterring the Use of Agents for Illegal Purposes:** The section acts as a deterrent against using agents to orchestrate or benefit from riots. This reinforces the principle that individuals cannot evade responsibility by acting through intermediaries.</w:t>
        <w:br/>
        <w:t>* **Protecting Public Order:** By targeting agents involved in riots, Section 156 strengthens the framework for maintaining public order and preventing violent disturbances.</w:t>
        <w:br/>
        <w:t>* **Promoting Accountability across the Chain of Command:**  The section extends accountability beyond the direct beneficiaries to those who act on their behalf, promoting a more comprehensive approach to riot control.</w:t>
        <w:br/>
        <w:br/>
        <w:t>**Interpretations and Judicial Pronouncements:**</w:t>
        <w:br/>
        <w:br/>
        <w:t>Judicial interpretations have provided clarity on the application of Section 156:</w:t>
        <w:br/>
        <w:br/>
        <w:t>* **Establishing Agency Relationship:** The prosecution must demonstrate a clear agency relationship between the accused and the owner/occupier. This requires establishing that the accused was acting on behalf of or under the direction of the owner/occupier.</w:t>
        <w:br/>
        <w:t>* **Nexus Between Riot and Benefit:**  The court requires evidence demonstrating a link between the riot and the benefit accruing to the owner/occupier.  This nexus must be established to hold the agent liable under this section.</w:t>
        <w:br/>
        <w:t>* **Agent's Power to Prevent:**  The court assesses the agent's actual power to prevent the riot, considering factors like their authority over the individuals involved and the specific circumstances of the situation.</w:t>
        <w:br/>
        <w:br/>
        <w:t>**Significance in the Indian Context:**</w:t>
        <w:br/>
        <w:br/>
        <w:t>Given the potential for land disputes and social unrest in India, Section 156 holds particular significance. It addresses the possibility of landowners or occupiers exploiting riots through intermediaries and strengthens the legal framework for preventing and controlling such disturbances.</w:t>
        <w:br/>
        <w:br/>
        <w:t>**Criticisms and Challenges:**</w:t>
        <w:br/>
        <w:br/>
        <w:t>The implementation of Section 156 faces certain challenges:</w:t>
        <w:br/>
        <w:br/>
        <w:t>* **Proving Agency Relationship:** Establishing a clear agency relationship between the accused and the owner/occupier can be complex, especially in cases involving informal or implied agency.</w:t>
        <w:br/>
        <w:t>* **Difficulty in Establishing Benefit:**  Proving that the riot benefited the owner/occupier can be challenging, especially when the benefits are indirect or difficult to quantify.</w:t>
        <w:br/>
        <w:t>* **Potential for Misuse:** There is a risk that the section could be misused to target individuals based on mere association with the owner/occupier, even if they had no direct involvement in the riot or knowledge of its purpose.</w:t>
        <w:br/>
        <w:br/>
        <w:t>**Conclusion:**</w:t>
        <w:br/>
        <w:br/>
        <w:t>Section 156 of the IPC plays a vital role in addressing the complexities of riot control by targeting agents who facilitate or benefit from such disturbances on behalf of landowners or occupiers. It recognizes that individuals might use intermediaries to exploit riots and seeks to deter such behavior by holding the agents accountable.  However, effective implementation requires careful investigation and a nuanced understanding of the circumstances, including the agent's relationship with the owner/occupier, their knowledge of the riot, and their power to prevent it.  A rigorous evidentiary standard and judicious application are crucial for ensuring fairness and preventing misuse.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