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166.1: Public servant disobeying direction under law.</w:t>
      </w:r>
    </w:p>
    <w:p>
      <w:r>
        <w:t>IPC Section 166A deals with the offense of a public servant disobeying a direction of law with intent to cause injury to any person, specifically within the context of receiving or registering a First Information Report (FIR). This section was introduced through the Criminal Law (Amendment) Act, 2013, to address the growing concern over police inaction and negligence in registering FIRs, particularly in cases of sexual offenses.  A comprehensive analysis of Section 166A requires understanding its constituent elements, the nature of the offense, the prescribed punishment, and its significance in the broader legal framework.</w:t>
        <w:br/>
        <w:br/>
        <w:t>**Key Components of Section 166A:**</w:t>
        <w:br/>
        <w:br/>
        <w:t>1. **Public Servant:** The offense applies only to public servants, specifically police officers responsible for receiving and registering FIRs.</w:t>
        <w:br/>
        <w:br/>
        <w:t>2. **Disobedience of a Direction of Law:** The public servant must disobey a specific legal direction related to registering FIRs. This typically involves a violation of the Code of Criminal Procedure (CrPC), which mandates the registration of an FIR upon receiving information about a cognizable offense.</w:t>
        <w:br/>
        <w:br/>
        <w:t>3. **Intent to Cause Injury:** The public servant's disobedience must be accompanied by the intent to cause injury to any person. "Injury" is defined under Section 44 of the IPC and includes any harm illegally caused to any person, in body, mind, reputation, or property.  This means the officer's refusal or delay in registering the FIR must be deliberate and aimed at causing harm to the complainant or other individuals involved.</w:t>
        <w:br/>
        <w:br/>
        <w:t>**Specifically Targeting Non-Registration of FIRs:**</w:t>
        <w:br/>
        <w:br/>
        <w:t>Section 166A focuses specifically on the following situations relating to FIRs:</w:t>
        <w:br/>
        <w:br/>
        <w:t>* **(a) Dishonestly failing to record any information given to him under sub-section (1) of section 154 of the Code of Criminal Procedure, 1973:** This addresses situations where a police officer deliberately refuses to record information related to a cognizable offense, effectively preventing the initiation of an investigation.</w:t>
        <w:br/>
        <w:br/>
        <w:t>* **(b) Failing to record any information given to him under sub-section (1) of section 154 of the Code of Criminal Procedure, 1973, in relation to cognizable offences punishable under section 326A, section 326B, section 354, section 354B, section 370, section 370A, section 376, section 376A, section 376B, section 376C, section 376D, section 376E or section 509 of this Code:** This clause specifically targets non-registration of FIRs related to heinous offenses like acid attacks, sexual harassment, rape, stalking, and voyeurism.  This highlights the legislature's intent to prioritize these sensitive cases and ensure prompt police action.</w:t>
        <w:br/>
        <w:br/>
        <w:t>**Nature of the Offense:**</w:t>
        <w:br/>
        <w:br/>
        <w:t>Section 166A defines a serious offense related to police misconduct. It is categorized as:</w:t>
        <w:br/>
        <w:br/>
        <w:t>* **Cognizable:**  The police can arrest the accused without a warrant.</w:t>
        <w:br/>
        <w:t>* **Non-Bailable:** Bail is not a matter of right and is subject to the court's discretion.</w:t>
        <w:br/>
        <w:t>* **Triable by a Magistrate of First Class:** The trial is conducted in a Magistrate's court.</w:t>
        <w:br/>
        <w:br/>
        <w:t>**Punishment under Section 166A:**</w:t>
        <w:br/>
        <w:br/>
        <w:t>The punishment for violating Section 166A is rigorous imprisonment for a term which shall not be less than six months but which may extend to two years, and shall also be liable to fine. The stricter punishment, compared to the general provision under Section 166, reflects the seriousness of this offense and the importance of prompt FIR registration.</w:t>
        <w:br/>
        <w:br/>
        <w:t>**Significance of Section 166A:**</w:t>
        <w:br/>
        <w:br/>
        <w:t>Section 166A holds significant importance in several ways:</w:t>
        <w:br/>
        <w:br/>
        <w:t>* **Ensuring Access to Justice:** By mandating prompt FIR registration, it ensures that victims of cognizable offenses, particularly vulnerable victims of sexual offenses, have access to the legal system and can seek redressal.</w:t>
        <w:br/>
        <w:br/>
        <w:t>* **Promoting Police Accountability:** It holds police officers accountable for their actions and deters them from neglecting their duty to register FIRs.</w:t>
        <w:br/>
        <w:br/>
        <w:t>* **Preventing Manipulation and Corruption:**  It reduces the scope for police officers to manipulate or exploit victims by delaying or refusing to register FIRs in exchange for bribes or favours.</w:t>
        <w:br/>
        <w:br/>
        <w:t>* **Strengthening Rule of Law:**  It reinforces the principle of equality before the law and ensures that everyone, regardless of their social standing or influence, can access legal remedies.</w:t>
        <w:br/>
        <w:br/>
        <w:t>* **Protecting Vulnerable Groups:** The specific mention of offenses like sexual harassment, rape, and acid attacks highlights the legislature's concern for protecting vulnerable groups and ensuring that they receive timely justice.</w:t>
        <w:br/>
        <w:br/>
        <w:br/>
        <w:br/>
        <w:t>**Conclusion:**</w:t>
        <w:br/>
        <w:br/>
        <w:t>IPC Section 166A plays a vital role in ensuring police accountability and protecting the rights of victims, particularly in cases of sexual offenses. It reinforces the importance of timely FIR registration and acts as a deterrent against police inaction and negligence.  This section serves as a crucial safeguard against the misuse of police power and promotes access to justice for all citizens. Understanding Section 166A is essential for both law enforcement officials and the public, fostering responsible policing and ensuring that the legal system serves its intended purpose of protecting and upholding the rights of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