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166.2: Punishment for non-treatment of victim.</w:t>
      </w:r>
    </w:p>
    <w:p>
      <w:r>
        <w:t>IPC Section 166B addresses the critical issue of neglecting to provide medical treatment to victims of specific offenses.  This section was introduced through the Criminal Law (Amendment) Act, 2013, to address concerns about inadequate medical care provided to victims, particularly in sensitive cases like acid attacks and sexual assault, which can have devastating physical and psychological consequences. A comprehensive understanding of Section 166B necessitates examining its constituent elements, the targeted offenses, the nature of the offense, the prescribed punishment, and its broader significance.</w:t>
        <w:br/>
        <w:br/>
        <w:t>**Key Components of Section 166B:**</w:t>
        <w:br/>
        <w:br/>
        <w:t>1. **Person Bound to provide Medical Assistance:**  The section applies to any person legally bound to provide medical assistance to victims. This primarily includes medical professionals and those in charge of hospitals or medical facilities.  While the section doesn't explicitly mention police officers, they can also be held accountable under this section if they obstruct or delay the provision of medical care to victims.</w:t>
        <w:br/>
        <w:br/>
        <w:t>2. **Neglecting to provide Medical Treatment:** The core of the offense lies in the deliberate refusal or failure to provide necessary medical treatment to victims of specific offenses. This involves a conscious act of omission where medical assistance is readily available but is withheld without justifiable reason.</w:t>
        <w:br/>
        <w:br/>
        <w:t>3. **Victims of Specific Offenses:**  Section 166B applies only to victims of offenses listed within the section itself. These include offenses under Sections 326A (acid attacks), 326B (attempt to throw acid), 354 (outraging the modesty of a woman), 354B (assault or use of criminal force to woman with intent to disrobe), 370 (trafficking of persons), 370A (exploitation of a trafficked person), 376 (rape), 376A (punishment for causing death or resulting in persistent vegetative state of victim), 376AB (rape on woman under twelve years of age), 376B (sexual intercourse by husband upon his wife during separation), 376C (sexual intercourse by a person in authority), 376D (gang rape), 376DA (gang rape on woman under sixteen years of age), 376DB (gang rape on woman under twelve years of age), 376E (repeat offenders), and 509 (word, gesture or act intended to insult the modesty of a woman) of the IPC.  This specific enumeration highlights the vulnerability of victims of these offenses and the critical need for prompt medical care.</w:t>
        <w:br/>
        <w:br/>
        <w:t>**Nature of the Offense:**</w:t>
        <w:br/>
        <w:br/>
        <w:t>Section 166B defines a serious offense with significant implications for victims' well-being and access to justice.  It's categorized as:</w:t>
        <w:br/>
        <w:br/>
        <w:t>* **Cognizable:** The police can arrest the accused without a warrant.</w:t>
        <w:br/>
        <w:t>* **Non-Bailable:** Bail is not a matter of right and is granted at the court's discretion.</w:t>
        <w:br/>
        <w:t>* **Triable by a Magistrate of First Class:** The trial is conducted in a Magistrate's court.</w:t>
        <w:br/>
        <w:br/>
        <w:t>**Punishment under Section 166B:**</w:t>
        <w:br/>
        <w:br/>
        <w:t>A person convicted under Section 166B faces imprisonment for a term which may extend to one year or with fine, or with both.  The court has the discretion to determine the appropriate sentence based on the circumstances of the case and the severity of the consequences resulting from the denial of medical treatment.</w:t>
        <w:br/>
        <w:br/>
        <w:t>**Significance of Section 166B:**</w:t>
        <w:br/>
        <w:br/>
        <w:t>Section 166B holds immense significance for multiple reasons:</w:t>
        <w:br/>
        <w:br/>
        <w:t>* **Protecting Victims' Rights:**  It emphasizes the right of victims to receive timely and appropriate medical care, recognizing that denial of treatment can exacerbate injuries, both physical and psychological, and hinder recovery.</w:t>
        <w:br/>
        <w:br/>
        <w:t>* **Promoting Accountability:** It holds medical professionals and those responsible for medical facilities accountable for ensuring that victims receive the necessary medical attention, deterring negligence and deliberate denial of treatment.</w:t>
        <w:br/>
        <w:br/>
        <w:t>* **Preventing Further Harm:**  Prompt medical care can play a crucial role in mitigating the long-term consequences of the offenses listed in the section, preventing further physical or psychological harm.</w:t>
        <w:br/>
        <w:br/>
        <w:t>* **Facilitating Evidence Collection:**  Medical examinations are essential for gathering crucial evidence in cases of sexual assault and acid attacks, aiding in the prosecution of the perpetrators.  Denial of medical care can obstruct the justice process.</w:t>
        <w:br/>
        <w:br/>
        <w:t>* **Upholding Ethical Obligations:**  Section 166B reinforces the ethical obligations of medical professionals to provide care to all individuals in need, regardless of the circumstances, and upholds the principle of treating victims with dignity and respect.</w:t>
        <w:br/>
        <w:br/>
        <w:t>* **Addressing Gender-Based Violence:** The inclusion of specific offenses related to violence against women highlights the legislature's commitment to addressing this critical issue and ensuring that victims receive the necessary support and medical care.</w:t>
        <w:br/>
        <w:br/>
        <w:br/>
        <w:t>**Conclusion:**</w:t>
        <w:br/>
        <w:br/>
        <w:t>IPC Section 166B plays a vital role in protecting the rights and well-being of victims of specific offenses by ensuring their access to timely medical treatment. It promotes accountability among medical professionals and reinforces their ethical obligations to provide care without discrimination.  This section is particularly crucial in addressing gender-based violence and ensuring that victims receive the necessary medical and psychological support.  Understanding Section 166B is essential for medical professionals, law enforcement officials, and the public alike, promoting a more just and compassionate response to victims of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