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189: Threat of injury to public servant.</w:t>
      </w:r>
    </w:p>
    <w:p>
      <w:r>
        <w:t>## IPC Section 189: Threat of Injury to Public Servant</w:t>
        <w:br/>
        <w:br/>
        <w:t>Section 189 of the Indian Penal Code (IPC) deals with the offense of threatening a public servant with injury to deter them from discharging their lawful duties. This provision aims to protect public servants from intimidation and ensure that they can perform their functions without fear of reprisal. It recognizes that threats of injury can undermine the effectiveness of government operations and impede the administration of justice.</w:t>
        <w:br/>
        <w:br/>
        <w:t>**The Text of Section 189:**</w:t>
        <w:br/>
        <w:br/>
        <w:t>"Whoever threatens any public servant with any injury to him, or to one in whom he is interested, with intent to prevent or deter that public servant from discharging his duty, or with intent to cause him to discharge his duty otherwise than according to law, shall be punished with imprisonment of either description for a term which may extend to two years, or with fine, or with both.</w:t>
        <w:br/>
        <w:br/>
        <w:t xml:space="preserve">If the threat be to cause death or grievous hurt, or to cause the destruction of any property by fire, or to cause an offence punishable with death or with </w:t>
        <w:br/>
        <w:t>[imprisonment for life] or with imprisonment for a term which may extend to seven years, or to impute, unchastity to what that person to whom the threat is made, shall be punished with imprisonment of either description for a term which may extend to seven years, or with fine, or with both."</w:t>
        <w:br/>
        <w:br/>
        <w:br/>
        <w:br/>
        <w:t>**Key Elements of the Offense:**</w:t>
        <w:br/>
        <w:br/>
        <w:t>1. **Threat of Injury:** The core of the offense lies in the act of threatening a public servant with injury.  This threat must be communicated directly or indirectly to the public servant and must be of such a nature as to cause reasonable apprehension of harm.  The threat can be expressed verbally, in writing, or through gestures or other forms of communication.</w:t>
        <w:br/>
        <w:br/>
        <w:t>2. **Public Servant:**  The target of the threat must be a "public servant" as defined in Section 21 of the IPC. This includes a wide range of government officials, including elected representatives, judges, police officers, administrative officials, and anyone authorized to perform public functions.</w:t>
        <w:br/>
        <w:br/>
        <w:t>3. **Intent to Prevent or Deter from Duty:** The threat must be made with the specific intent to prevent or deter the public servant from performing their lawful duties. This element focuses on the motive behind the threat – to obstruct the public servant from carrying out their responsibilities.</w:t>
        <w:br/>
        <w:br/>
        <w:t>4. **Intent to Cause Discharge of Duty Otherwise than According to Law:**  The threat can also be made with the intent to coerce the public servant into performing their duty in a manner contrary to law. This covers situations where the individual attempts to influence the public servant's actions through intimidation, forcing them to act illegally or improperly.</w:t>
        <w:br/>
        <w:br/>
        <w:t>5. **Nature of the Threat (Enhanced Punishment):**  The punishment for the offense increases if the threat involves certain aggravated elements:</w:t>
        <w:br/>
        <w:br/>
        <w:t xml:space="preserve">    **(a) Threat of Death or Grievous Hurt:**  If the threat is to cause death or grievous hurt (serious bodily injury), the maximum punishment increases to seven years imprisonment, or fine, or both.</w:t>
        <w:br/>
        <w:br/>
        <w:t xml:space="preserve">    **(b) Threat of Property Destruction by Fire:** Similarly, if the threat involves the destruction of property by fire, the maximum punishment is enhanced to seven years.</w:t>
        <w:br/>
        <w:br/>
        <w:t xml:space="preserve">    **(c) Threat of Serious Offense:**  If the threat is to cause an offense punishable with death, life imprisonment, or imprisonment up to seven years, the punishment is also enhanced to seven years.</w:t>
        <w:br/>
        <w:br/>
        <w:t xml:space="preserve">    **(d) Threat to Impute Unchastity:**  If the threat involves imputing unchastity to the person to whom the threat is made, the punishment is also enhanced to seven years.</w:t>
        <w:br/>
        <w:br/>
        <w:br/>
        <w:br/>
        <w:t>**Illustrative Examples:**</w:t>
        <w:br/>
        <w:br/>
        <w:t>* **Threatening a Police Officer:**  Threatening a police officer investigating a crime with physical harm if they continue the investigation would fall under Section 189.</w:t>
        <w:br/>
        <w:t>* **Intimidating a Judge:** Threatening a judge with consequences if they rule against a particular party in a case would constitute an offense.</w:t>
        <w:br/>
        <w:t>* **Coercing a Tax Official:**  Threatening a tax official with harm to their family if they don't reduce the tax assessment would fall under this section.</w:t>
        <w:br/>
        <w:t>* **Threatening to Burn Down Property:**  Threatening to burn down a government office if a particular demand is not met would be covered under the enhanced punishment clause.</w:t>
        <w:br/>
        <w:br/>
        <w:br/>
        <w:br/>
        <w:t>**Distinction from Other Related Offenses:**</w:t>
        <w:br/>
        <w:br/>
        <w:t>* **Section 186 (Obstructing Public Servant):** Section 186 deals with the actual obstruction of a public servant, while Section 189 focuses on the threat of injury to prevent or deter them from duty.  A threat can be made without actual obstruction taking place.</w:t>
        <w:br/>
        <w:br/>
        <w:t>* **Section 353 (Assault/Criminal Force to Deter Public Servant):**  Section 353 deals with the use of physical force or assault against a public servant, whereas Section 189 deals with the threat of injury.</w:t>
        <w:br/>
        <w:br/>
        <w:t>* **Section 503 (Criminal Intimidation):**  Section 503 deals with criminal intimidation in general, while Section 189 specifically addresses threats made to public servants in connection with their duties.</w:t>
        <w:br/>
        <w:br/>
        <w:br/>
        <w:t>**Importance of Section 189:**</w:t>
        <w:br/>
        <w:br/>
        <w:t>Section 189 protects public servants from intimidation and ensures that they can perform their duties without fear of reprisal. By criminalizing threats of injury aimed at deterring or influencing public servants, it safeguards the integrity of government operations and the administration of justice. It allows public servants to make impartial decisions and carry out their responsibilities without being subjected to undue pressure or coercion. This provision is crucial for maintaining the rule of law and ensuring that public functions are performed effectively and without fear of intimidation.  It recognizes the importance of protecting those who serve the public from threats and ensures that they can carry out their duties freely and without undue influence.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