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261: Effacing writing from substance bearing Government stamp, or removing from document a stamp used for it, with intent to cause loss to Government.</w:t>
      </w:r>
    </w:p>
    <w:p>
      <w:r>
        <w:t>## IPC Section 261: Effacing writing from substance bearing Government stamp, or removing from document a stamp used for it, with intent to cause loss to Government</w:t>
        <w:br/>
        <w:br/>
        <w:t>Section 261 of the Indian Penal Code (IPC) addresses the offense of tampering with government stamps or documents bearing such stamps with the intent to cause financial loss to the government.  This provision criminalizes two distinct acts: effacing writing from a substance bearing a government stamp and removing a stamp from a document, both done with the specific intention of causing financial loss to the government.  This essay will delve into the details of Section 261, examining its elements, scope, punishment, and related legal aspects.</w:t>
        <w:br/>
        <w:br/>
        <w:t>**Definition and Scope:**</w:t>
        <w:br/>
        <w:br/>
        <w:t>Section 261 states: “Whoever fraudulently or with intent to cause loss to the Government, effaces any writing from any substance bearing a Government stamp, or removes from any document any stamp used for such document, shall be punished with imprisonment of either description for a term which may extend to three years, and shall also be liable to fine.”</w:t>
        <w:br/>
        <w:br/>
        <w:t>Breaking down this section, several key components emerge:</w:t>
        <w:br/>
        <w:br/>
        <w:t>1. **Two distinct acts:** The section defines two separate offenses:</w:t>
        <w:br/>
        <w:t xml:space="preserve">    * **Effacing writing from a substance bearing a Government stamp:** This involves erasing, obliterating, or otherwise making illegible any writing on a material that carries a government stamp.  The "substance" can be any material, such as paper, parchment, or cloth, to which a government stamp is affixed. The writing effaced must be relevant to the purpose of the stamp.  For instance, effacing the value written on a stamp-paper or the details of a transaction recorded on a document bearing a revenue stamp would fall under this provision.</w:t>
        <w:br/>
        <w:t xml:space="preserve">    * **Removing from any document any stamp used for such document:** This refers to detaching or separating a government stamp from the document on which it has been used. This act aims to reuse the stamp on another document, thereby defrauding the government of the revenue it is entitled to.  The stamp must have been "used" for the document, meaning it was appropriately affixed and cancelled according to the prescribed procedure.</w:t>
        <w:br/>
        <w:br/>
        <w:t>2. **Fraudulently or with intent to cause loss to the Government:** The section requires a specific intent – either to act fraudulently or to cause financial loss to the government.  "Fraudulently" implies an intention to deceive or cheat the government.  "Intent to cause loss" refers to the purpose of depriving the government of revenue or other financial benefits.  The prosecution does not need to prove actual loss; the intent to cause loss is sufficient.  This intent can be inferred from the circumstances surrounding the act. For example, if someone removes a high-value revenue stamp from a document and attempts to reuse it, the intent to cause loss can be reasonably inferred.</w:t>
        <w:br/>
        <w:br/>
        <w:t>3. **Government Stamp:** The stamp involved must be a genuine government stamp, issued for a specific purpose, such as revenue collection, postage, or judicial proceedings.  The section does not apply to counterfeit stamps, which are covered under separate provisions of the IPC.</w:t>
        <w:br/>
        <w:br/>
        <w:br/>
        <w:t>**Punishment:**</w:t>
        <w:br/>
        <w:br/>
        <w:t>The punishment for the offense under Section 261 is imprisonment of either description for a term which may extend to three years, and a fine. "Either description" signifies that the imprisonment can be either rigorous (with hard labor) or simple. The severity of the punishment depends on the specific circumstances of the case, including the value of the stamp involved, the extent of intended loss, and the accused's prior criminal record.</w:t>
        <w:br/>
        <w:br/>
        <w:br/>
        <w:t>**Difference from related offenses:**</w:t>
        <w:br/>
        <w:br/>
        <w:t>Section 261 is distinct from other offenses relating to counterfeiting or forgery.  Section 258 deals with counterfeiting government stamps, Section 259 deals with possessing counterfeit stamps, and Section 260 deals with using counterfeit stamps as genuine.  Section 261 specifically addresses the tampering with genuine stamps or documents bearing such stamps, aiming to reuse the stamp or evade government dues.</w:t>
        <w:br/>
        <w:br/>
        <w:br/>
        <w:t>**Evidentiary considerations:**</w:t>
        <w:br/>
        <w:br/>
        <w:t>Proving an offense under Section 261 requires robust evidence. The prosecution needs to establish the act of effacing writing or removing the stamp, demonstrate that the stamp was a genuine government stamp used for the specific document, and prove the intent to defraud the government or cause it financial loss.  This can be achieved through various means, including documentary evidence, forensic examination of the document and stamp, witness testimony, and circumstantial evidence demonstrating the accused's intent and actions.</w:t>
        <w:br/>
        <w:br/>
        <w:br/>
        <w:br/>
        <w:t>**Illustrations:**</w:t>
        <w:br/>
        <w:br/>
        <w:t>Consider the following examples:</w:t>
        <w:br/>
        <w:br/>
        <w:t>* **Scenario 1:** A person removes a revenue stamp from a sale deed with the intention of reusing it on another document to avoid paying the required stamp duty. This constitutes an offense under Section 261.</w:t>
        <w:br/>
        <w:t>* **Scenario 2:** A person accidentally spills ink on a document, obscuring the writing under a revenue stamp.  This does not constitute an offense under Section 261 as there is no intent to cause loss to the government.</w:t>
        <w:br/>
        <w:t>* **Scenario 3:** A person erases the value written on a used stamp-paper and tries to sell it at a higher value. This constitutes an offense under Section 261 as it involves effacing writing from a substance bearing a government stamp with fraudulent intent.</w:t>
        <w:br/>
        <w:br/>
        <w:br/>
        <w:br/>
        <w:t>**Conclusion:**</w:t>
        <w:br/>
        <w:br/>
        <w:t>Section 261 of the IPC plays a significant role in protecting government revenue and maintaining the integrity of official documents by criminalizing the act of tampering with government stamps or documents bearing such stamps with fraudulent intent or the intent to cause financial loss to the government.  The provision addresses both the effacing of writing on a substance bearing a government stamp and the removal of a stamp from a document.  Effective implementation requires diligent investigation, meticulous evidence gathering, and a thorough understanding of the legal principles involved.  This section, along with other related provisions in the IPC, provides a comprehensive framework for tackling stamp-related fraud and safeguarding government finances.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