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295A: Deliberate and malicious acts, intended to outrage religious feelings of any class by insulting its religion or religious beliefs.</w:t>
      </w:r>
    </w:p>
    <w:p>
      <w:r>
        <w:t>Section 295A of the Indian Penal Code (IPC) is a crucial provision pertaining to religious offenses, specifically targeting deliberate and malicious acts intended to outrage the religious feelings of any class by insulting its religion or religious beliefs.  Enacted in 1927, it addresses a gap in the existing legal framework, which primarily dealt with physical acts against places of worship or sacred objects (Section 295).  This essay will delve into the intricacies of Section 295A, examining its various components, interpretation, significance, challenges, and its relationship with freedom of speech and expression.</w:t>
        <w:br/>
        <w:br/>
        <w:t>**The Text of Section 295A:**</w:t>
        <w:br/>
        <w:br/>
        <w:t>The precise wording of Section 295A is as follows:</w:t>
        <w:br/>
        <w:br/>
        <w:t>"Whoever, with deliberate and malicious intention of outraging the religious feelings of any class of citizens of India, by words, either spoken or written, or by signs or by visible representations or otherwise, insults or attempts to insult the religion or the religious beliefs of that class, shall be punished with imprisonment of either description for a term which may extend to three years, or with fine, or with both."</w:t>
        <w:br/>
        <w:br/>
        <w:br/>
        <w:t>**Key Components and Interpretation:**</w:t>
        <w:br/>
        <w:br/>
        <w:t>1. **Deliberate and Malicious Intention:** This is the cornerstone of Section 295A. The prosecution must establish beyond reasonable doubt that the accused acted with a conscious and purposeful intent to outrage the religious feelings of a particular class. Mere negligence or unintentional acts do not fall under the purview of this section. The "malice" implies an ill-will or spiteful motive behind the act.</w:t>
        <w:br/>
        <w:br/>
        <w:t>2. **Outraging Religious Feelings:** The act must be such that it has the potential to cause deep offense and hurt the religious sensibilities of a particular religious community. This involves a subjective assessment of the impact of the act on the targeted group, considering their religious beliefs and practices.</w:t>
        <w:br/>
        <w:br/>
        <w:t>3. **Any Class of Citizens of India:**  The section protects the religious feelings of any identifiable group of citizens based on their religious affiliation, irrespective of their size or prominence.</w:t>
        <w:br/>
        <w:br/>
        <w:t>4. **Words, either Spoken or Written, or by Signs or by Visible Representations or Otherwise:** This broadly encompasses various forms of expression, including oral statements, written publications, gestures, images, symbols, or any other form of communication that can convey an insult to a religion or religious beliefs.  The inclusion of "or otherwise" ensures that the provision is not limited to specific enumerated forms of expression.</w:t>
        <w:br/>
        <w:br/>
        <w:t>5. **Insults or Attempts to Insult:** The section covers both successful insults and attempts to insult. Even if the intended insult does not reach the target audience or fails to have the desired impact, the attempt itself is punishable.</w:t>
        <w:br/>
        <w:br/>
        <w:t>6. **Religion or Religious Beliefs:** This encompasses not only established religions but also specific beliefs, practices, and tenets held sacred by a particular religious community.  It extends protection to the core principles and doctrines of a religion.</w:t>
        <w:br/>
        <w:br/>
        <w:t>7. **Punishment:** The prescribed punishment is imprisonment up to three years, a fine, or both.  While not as severe as some other offenses, it signifies the seriousness with which the law views deliberate acts intended to outrage religious sentiments.</w:t>
        <w:br/>
        <w:br/>
        <w:t>**Distinction from Related Sections:**</w:t>
        <w:br/>
        <w:br/>
        <w:t>Section 295A differs from other related provisions:</w:t>
        <w:br/>
        <w:br/>
        <w:t>* **Section 153A:** Deals with promoting enmity between different groups on grounds of religion, race, place of birth, residence, language, etc., and doing acts prejudicial to maintenance of harmony.  This section has a broader scope than 295A, focusing on promoting disharmony rather than solely insulting religious feelings.</w:t>
        <w:br/>
        <w:t>* **Section 295:**  Covers physical acts of injuring or defiling places of worship or sacred objects.  Section 295A, on the other hand, deals with expressions, whether spoken, written, or otherwise.</w:t>
        <w:br/>
        <w:t>* **Section 505(2):**  Relates to statements creating or promoting enmity, hatred or ill-will between classes.</w:t>
        <w:br/>
        <w:br/>
        <w:t>**Significance and Challenges:**</w:t>
        <w:br/>
        <w:br/>
        <w:t>Section 295A plays a vital role in preventing religious intolerance and maintaining social harmony in a diverse country like India.  It acknowledges the importance of respecting religious sentiments and seeks to prevent deliberate acts that could potentially incite communal violence. However, its application has faced several challenges:</w:t>
        <w:br/>
        <w:br/>
        <w:t>* **Subjectivity in Interpretation:** Determining what constitutes an "insult" to religion and whether the intention was "deliberate and malicious" involves a degree of subjectivity, leading to varying interpretations and potential misuse.</w:t>
        <w:br/>
        <w:t>* **Balancing with Freedom of Speech:**  The most significant challenge lies in balancing the protection of religious sentiments with the fundamental right to freedom of expression.  Critics argue that the vague wording of the section can be used to stifle legitimate criticism of religious practices and doctrines.</w:t>
        <w:br/>
        <w:t>* **Potential for Misuse:**  There is a risk of the provision being misused to suppress dissenting voices or target specific communities by lodging frivolous complaints.</w:t>
        <w:br/>
        <w:br/>
        <w:t>**Judicial pronouncements:**</w:t>
        <w:br/>
        <w:br/>
        <w:t>Several landmark judgments have shaped the interpretation and application of Section 295A. The Supreme Court has emphasized the need to establish a "clear and present danger" to public order for restricting free speech under this section. The court has also clarified that mere criticism of religious beliefs or practices, however harsh, does not amount to an offense unless it is done with a deliberate and malicious intention to outrage religious feelings.</w:t>
        <w:br/>
        <w:br/>
        <w:t>**Conclusion:**</w:t>
        <w:br/>
        <w:br/>
        <w:t>Section 295A of the IPC is a complex and contentious provision that attempts to strike a balance between protecting religious sentiments and upholding freedom of expression. While it serves a crucial function in preventing religious intolerance and maintaining public order, its vague wording and subjective interpretation pose challenges.  Its effective implementation requires careful consideration of the context, intent, and potential impact of the expression, ensuring that it is used to prevent genuine acts of religious hostility while safeguarding the fundamental right to free speech.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