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298: Uttering words, etc., with deliberate intent to wound the religious feelings.</w:t>
      </w:r>
    </w:p>
    <w:p>
      <w:r>
        <w:t>Section 298 of the Indian Penal Code (IPC) deals with the offense of uttering words, making sounds, or making gestures with the deliberate intent to wound the religious feelings of any person.  This provision is designed to protect individuals from targeted verbal attacks or expressions aimed at denigrating their religious beliefs.  It acknowledges the emotional and spiritual significance of religion and seeks to prevent acts that could cause hurt and disharmony.  This essay will provide a comprehensive analysis of Section 298, examining its constituent elements, interpretation, scope, punishment, and its significance within the larger legal framework governing religious offenses in India.</w:t>
        <w:br/>
        <w:br/>
        <w:br/>
        <w:t>**The Text of Section 298:**</w:t>
        <w:br/>
        <w:br/>
        <w:t>The precise wording of Section 298 is as follows:</w:t>
        <w:br/>
        <w:br/>
        <w:t>"Whoever, with the deliberate intention of wounding the religious feelings of any person, utters any word or makes any sound in the hearing of that person or makes any gesture in the sight of that person or places any object in the sight of that person, shall be punished with imprisonment of either description for a term which may extend to one year, or with fine, or with both."</w:t>
        <w:br/>
        <w:br/>
        <w:br/>
        <w:t>**Key Components and Interpretation:**</w:t>
        <w:br/>
        <w:br/>
        <w:t>1. **Deliberate Intention:**  The *mens rea* (guilty mind) required under this section is the "deliberate intention" of wounding the religious feelings of any person. This signifies a conscious and purposeful act aimed at causing emotional hurt or offense specifically targeting an individual's religious beliefs.  Accidental or unintentional remarks do not fall under this provision.  The prosecution must prove beyond reasonable doubt that the accused acted with the specific purpose of hurting the religious sentiments of the targeted individual.</w:t>
        <w:br/>
        <w:br/>
        <w:t>2. **Uttering any Word or Making any Sound:** This encompasses various forms of verbal expression, including spoken words, chants, songs, or any other audible communication that can be perceived by the targeted person.</w:t>
        <w:br/>
        <w:br/>
        <w:t>3. **Making any Gesture:**  This extends the scope of the offense beyond verbal expressions to include physical gestures, such as facial expressions, hand movements, or any other visible actions that can convey disrespect or mockery towards the targeted person's religion.</w:t>
        <w:br/>
        <w:br/>
        <w:t>4. **Placing any Object in the Sight of that Person:** This covers the display of objects or images with the deliberate intention of wounding religious feelings. This could include displaying offensive cartoons, symbols, or any other visual representation that is likely to cause hurt to the targeted individual.</w:t>
        <w:br/>
        <w:br/>
        <w:t>5. **In the Hearing/Sight of that Person:** The words, sounds, gestures, or objects must be communicated directly to the person whose religious feelings are intended to be wounded. This emphasizes the targeted nature of the offense and distinguishes it from general statements or expressions that might be critical of religion but are not directed at a specific individual.</w:t>
        <w:br/>
        <w:br/>
        <w:t>6. **Wounding the Religious Feelings:** The act must have the potential to cause genuine emotional hurt or offense to the targeted person's religious sensibilities.  This involves a subjective assessment, taking into account the specific religious beliefs and practices of the individual.  Mere criticism of religious doctrines or practices, however harsh, does not automatically constitute an offense under this section.  The focus is on expressions that are deliberately aimed at causing emotional distress to a specific individual due to their religious beliefs.</w:t>
        <w:br/>
        <w:br/>
        <w:t>7. **Punishment:**  The prescribed punishment for an offense under Section 298 is imprisonment up to one year, a fine, or both.  This relatively lesser punishment compared to other offenses related to religion emphasizes the focus on preventing targeted attacks on individual religious sentiments rather than imposing harsh penalties.</w:t>
        <w:br/>
        <w:br/>
        <w:t>**Scope and Application:**</w:t>
        <w:br/>
        <w:br/>
        <w:t>Section 298 applies to acts targeting individuals of any religion. It protects the right of individuals to hold and practice their religious beliefs without being subjected to deliberate verbal or expressive attacks.  The section's application requires careful consideration of the context, intent, and impact of the expression.  It is not intended to stifle legitimate debate or criticism of religious ideas, but rather to prevent targeted attacks on individual religious sentiments.</w:t>
        <w:br/>
        <w:br/>
        <w:br/>
        <w:t>**Distinction from Related Sections:**</w:t>
        <w:br/>
        <w:br/>
        <w:t>Section 298 needs to be distinguished from other related provisions:</w:t>
        <w:br/>
        <w:br/>
        <w:t>* **Section 153A:** Deals with promoting enmity between different groups based on religion, race, place of birth, residence, language, etc., and doing acts prejudicial to maintaining harmony.  Section 298 focuses on targeted attacks on individual religious feelings, while 153A has a broader scope encompassing acts that promote disharmony between groups.</w:t>
        <w:br/>
        <w:t>* **Section 295A:**  Addresses deliberate and malicious acts intended to outrage the religious feelings of any class by insulting its religion or religious beliefs.  Section 298 focuses on targeted attacks on individual religious feelings, while 295A deals with acts that insult the religion of a class of persons.</w:t>
        <w:br/>
        <w:t>* **Section 505(1):**  Relates to statements conducing to public mischief. This has a broader scope encompassing statements that create or promote disharmony or hatred.</w:t>
        <w:br/>
        <w:br/>
        <w:br/>
        <w:t>**Significance and Challenges:**</w:t>
        <w:br/>
        <w:br/>
        <w:t>Section 298 plays a significant role in protecting individual religious freedom and promoting tolerance. It provides a legal recourse for individuals who are subjected to targeted attacks on their religious beliefs.  However, its implementation poses certain challenges:</w:t>
        <w:br/>
        <w:br/>
        <w:t>* **Proof of Intention:** Establishing the "deliberate intention" to wound religious feelings can be difficult in some cases, as it involves subjective assessment of the accused's motive.</w:t>
        <w:br/>
        <w:t>* **Balancing with Freedom of Speech:**  The application of Section 298 needs to be carefully balanced with the fundamental right to freedom of speech and expression. Legitimate criticism of religious beliefs should not be suppressed under the guise of protecting religious sentiments.</w:t>
        <w:br/>
        <w:t>* **Potential for Misuse:**  There is a risk of this provision being misused to stifle dissenting voices or target individuals expressing unpopular views on religion.</w:t>
        <w:br/>
        <w:br/>
        <w:br/>
        <w:br/>
        <w:t>**Conclusion:**</w:t>
        <w:br/>
        <w:br/>
        <w:t>Section 298 of the IPC is an important legal tool for protecting individual religious sentiments from targeted attacks. It recognizes the emotional and spiritual significance of religion and seeks to create an environment where individuals can practice their beliefs without fear of harassment or ridicule.  Its effectiveness, however, depends on careful and judicious application, ensuring that it is used to prevent genuine acts of religious hostility while safeguarding the fundamental right to freedom of expression.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