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311: Punishment.</w:t>
      </w:r>
    </w:p>
    <w:p>
      <w:r>
        <w:t>## IPC Section 311: Punishment [Related to Thuggee]</w:t>
        <w:br/>
        <w:br/>
        <w:t>Section 311 of the Indian Penal Code prescribes the punishment for the offense of being a "Thug," as defined in Section 310. This section is intrinsically linked to the historical context of Thuggee, a particular form of organized crime involving ritualistic murder and robbery that was prevalent in India during the 18th and 19th centuries.  While the practice of Thuggee has been largely eradicated, the corresponding punishment under Section 311 remains in the IPC.</w:t>
        <w:br/>
        <w:br/>
        <w:t>**The Text of Section 311:**</w:t>
        <w:br/>
        <w:br/>
        <w:t>"Whoever is a Thug, shall be punished with imprisonment for life, and shall also be liable to fine."</w:t>
        <w:br/>
        <w:br/>
        <w:br/>
        <w:t>**Understanding the Punishment:**</w:t>
        <w:br/>
        <w:br/>
        <w:t>1. **Imprisonment for Life:**  This is the primary punishment prescribed under Section 311. "Imprisonment for life" signifies imprisonment for the remainder of the convict's natural life.  However, it's important to note that in practice, a life sentence in India is typically subject to remission and commutation policies, meaning that the convict may be released after serving a certain number of years, usually a minimum of 14 years, based on factors like good behavior and other considerations.  The actual duration of imprisonment can vary depending on specific circumstances and judicial pronouncements.</w:t>
        <w:br/>
        <w:br/>
        <w:br/>
        <w:t>2. **Fine:**  In addition to life imprisonment, the court can also impose a fine.  The amount of the fine is discretionary and determined by the court based on the specific facts of the case.  The purpose of the fine is both punitive and deterrent, aimed at imposing a financial penalty on the convict.</w:t>
        <w:br/>
        <w:br/>
        <w:br/>
        <w:br/>
        <w:t>**Linkage to Section 310 (Definition of Thug):**</w:t>
        <w:br/>
        <w:br/>
        <w:t>Section 311 is inextricably linked to Section 310, which defines the offense of being a Thug.  Section 310 stipulates that a person is considered a Thug if they have been habitually associated with others for the purpose of committing robbery or child-stealing by means of or accompanied by murder.  The punishment under Section 311 applies only to individuals who meet the criteria outlined in Section 310.</w:t>
        <w:br/>
        <w:br/>
        <w:br/>
        <w:t>**Historical Context and Rationale for the Punishment:**</w:t>
        <w:br/>
        <w:br/>
        <w:t>The severity of the punishment under Section 311 reflects the gravity of the offense of Thuggee as it existed historically.  Thuggee was characterized by its organized nature, the ritualistic element of the killings, and the targeting of unsuspecting travelers.  The British colonial administration, which enacted the IPC, considered Thuggee a serious threat to public safety and order, justifying the stringent punishment.</w:t>
        <w:br/>
        <w:br/>
        <w:br/>
        <w:t>**Challenges in Applying Section 311 in Contemporary Times:**</w:t>
        <w:br/>
        <w:br/>
        <w:t>Given the near eradication of organized Thuggee, the application of Section 311 in the present day is extremely rare.  The primary challenges are:</w:t>
        <w:br/>
        <w:br/>
        <w:t>* **Rarity of Thuggee Cases:**  Organized Thuggee as it existed historically is virtually non-existent.  Therefore, cases where Section 311 would be applicable are extremely infrequent.</w:t>
        <w:br/>
        <w:br/>
        <w:t>* **Difficulty in Proving the Offense under Section 310:**  Establishing that an individual meets the criteria of being a Thug under Section 310 requires proving habitual association for the purpose of committing robbery/child-stealing accompanied by murder.  This is a high evidentiary burden, making successful prosecutions challenging.</w:t>
        <w:br/>
        <w:br/>
        <w:br/>
        <w:t>* **Availability of Alternative Offenses:**  Other provisions in the IPC, such as those related to murder, robbery, dacoity, and kidnapping, can effectively address similar criminal activities without needing to invoke the specific offense of being a Thug and the corresponding punishment under Section 311.</w:t>
        <w:br/>
        <w:br/>
        <w:br/>
        <w:br/>
        <w:br/>
        <w:t>**Relevance of Section 311 Today:**</w:t>
        <w:br/>
        <w:br/>
        <w:t>Despite its infrequent application, Section 311 retains some relevance:</w:t>
        <w:br/>
        <w:br/>
        <w:t>* **Historical Significance:**  It serves as a reminder of a specific historical context and the severe measures taken to combat organized crime in the past.</w:t>
        <w:br/>
        <w:br/>
        <w:t>* **Potential Applicability in Exceptional Cases:** While highly unlikely, Section 311 could theoretically be applied in contemporary cases involving organized criminal groups that engage in ritualistic killings connected to robbery or child-stealing. However, such cases would be extremely rare and would require strong evidence to meet the criteria outlined in Section 310.</w:t>
        <w:br/>
        <w:br/>
        <w:br/>
        <w:t>* **Symbolic Deterrence:**  The existence of Section 311, even if rarely applied, might have a symbolic deterrent effect against the formation of similar criminal organizations.</w:t>
        <w:br/>
        <w:br/>
        <w:br/>
        <w:t>**Conclusion:**</w:t>
        <w:br/>
        <w:br/>
        <w:t>Section 311 of the IPC prescribes the punishment of life imprisonment and a possible fine for the offense of being a Thug, as defined in Section 310.  This punishment reflects the historical gravity of Thuggee, a specific form of organized crime involving ritualistic murder and robbery.  Due to the near eradication of Thuggee, the application of Section 311 in contemporary times is exceptionally rare. Other provisions of the IPC offer more practical means of addressing similar criminal activities.  However, Section 311 retains its historical significance and serves as a potential, albeit remote, deterrent against the emergence of similar forms of organized and ritualistic crime. While it remains a part of the IPC, its practical application is largely confined to the historical context of Thuggee.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