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319: Hurt.</w:t>
      </w:r>
    </w:p>
    <w:p>
      <w:r>
        <w:t>## IPC Section 319: Hurt - A Comprehensive Analysis</w:t>
        <w:br/>
        <w:br/>
        <w:t>Section 319 of the Indian Penal Code (IPC) defines the offence of "Hurt." It addresses the infliction of bodily pain, disease, or infirmity, forming the foundation for a range of offences related to physical harm. While seemingly straightforward, the concept of "hurt" encompasses various degrees of severity, ranging from minor injuries to those causing grievous harm. This analysis delves into the intricacies of Section 319, exploring its essential elements, interpretations, and distinctions from related offences.</w:t>
        <w:br/>
        <w:br/>
        <w:t>**The Text of Section 319:**</w:t>
        <w:br/>
        <w:br/>
        <w:t>"Whoever causes bodily pain, disease or infirmity to any person is said to cause hurt."</w:t>
        <w:br/>
        <w:br/>
        <w:t>**Dissecting the Elements of Hurt:**</w:t>
        <w:br/>
        <w:br/>
        <w:t>1. **Whoever:**  This term indicates that the offence can be committed by anyone, irrespective of their relationship with the victim.</w:t>
        <w:br/>
        <w:br/>
        <w:t>2. **Causes:**  This implies a causal link between the accused's actions and the resulting harm.  The prosecution must establish that the accused's act directly or indirectly resulted in the bodily pain, disease, or infirmity suffered by the victim.</w:t>
        <w:br/>
        <w:br/>
        <w:t>3. **Bodily Pain:** This refers to any physical discomfort or suffering inflicted upon the victim.  The pain need not be severe or long-lasting; even a momentary sensation of pain can constitute hurt.  It encompasses a wide range of experiences, from a slap to a more serious injury causing acute pain.</w:t>
        <w:br/>
        <w:br/>
        <w:t>4. **Disease:** This element broadens the scope of hurt beyond immediate physical pain.  It includes communicating any contagious or infectious disease to another person. This could involve intentionally exposing someone to a disease or negligently transmitting it through physical contact or other means.</w:t>
        <w:br/>
        <w:br/>
        <w:t>5. **Infirmity:** This refers to a temporary or permanent impairment of physical or mental powers. It can include debilitating conditions, loss of function, or weakening of any body part.  Examples include a broken limb, a concussion, or a psychological condition resulting from the accused's actions.</w:t>
        <w:br/>
        <w:br/>
        <w:t>6. **To any person:**  This clarifies that the offence can be committed against any human being, regardless of their age, gender, or social status.</w:t>
        <w:br/>
        <w:br/>
        <w:br/>
        <w:t>**Interpretations and Judicial Pronouncements:**</w:t>
        <w:br/>
        <w:br/>
        <w:t>Over time, judicial pronouncements have shaped the understanding and application of Section 319. Some key aspects include:</w:t>
        <w:br/>
        <w:br/>
        <w:t>* **No physical contact required:**  While physical assault is a common way to cause hurt, it's not a necessary element. Hurt can be inflicted through other means, such as poisoning, administering noxious substances, or even through psychological manipulation leading to mental distress and infirmity.</w:t>
        <w:br/>
        <w:br/>
        <w:t>* **Proof of actual injury:**  While some form of injury or harm must be demonstrably caused, visible external injuries are not mandatory. Internal injuries, diseases, and mental harm also fall under the purview of hurt.  Medical evidence can be crucial in establishing the existence and extent of the harm.</w:t>
        <w:br/>
        <w:br/>
        <w:t>* **Intention is not essential:**  Section 319 doesn't explicitly require proving the intention to cause hurt.  Even unintentional acts that result in bodily pain, disease, or infirmity can constitute hurt. However, the intention of the accused becomes relevant in determining the severity of the offence and the corresponding punishment, particularly in cases involving grievous hurt.</w:t>
        <w:br/>
        <w:br/>
        <w:t>**Distinguishing Hurt from Related Offences:**</w:t>
        <w:br/>
        <w:br/>
        <w:t>Understanding the distinction between hurt and other related offences is crucial:</w:t>
        <w:br/>
        <w:br/>
        <w:t>* **Assault (Section 351 IPC):** Assault is defined as making any gesture or preparation intending or knowing it to be likely that such gesture or preparation will cause any person present to apprehend that he will be subjected to criminal force.  While assault often precedes hurt, they are distinct offences.  Assault focuses on the apprehension of force, while hurt focuses on the actual infliction of pain, disease, or infirmity.</w:t>
        <w:br/>
        <w:br/>
        <w:t>* **Grievous Hurt (Section 320 IPC):** Grievous hurt represents a more severe form of hurt, involving specific injuries like emasculation, permanent privation of sight or hearing, disfigurement, fracture or dislocation of bones, and any hurt that endangers life or causes severe bodily pain for more than twenty days.  The distinction between simple hurt and grievous hurt lies in the severity and nature of the injury.</w:t>
        <w:br/>
        <w:br/>
        <w:t>* **Wrongful Restraint (Section 339 IPC):** Wrongful restraint involves voluntarily obstructing any person so as to prevent that person from proceeding in any direction in which that person has a right to proceed. While restraint might involve physical contact that could potentially cause hurt, the primary objective of wrongful restraint is the restriction of movement, not the infliction of pain or injury.</w:t>
        <w:br/>
        <w:br/>
        <w:t>* **Criminal Force (Section 350 IPC):** Criminal force is defined as intentionally using force to any person, without that person’s consent, in order to cause the committing of any offence, or intending by the use of such force illegally to cause, or knowing it to be likely that by the use of such force he will illegally cause injury, fear, or annoyance to the person to whom the force is used. Hurt can be a consequence of criminal force, but the two offences are distinct.  Criminal force focuses on the use of force, while hurt focuses on the resultant harm.</w:t>
        <w:br/>
        <w:br/>
        <w:br/>
        <w:br/>
        <w:t>**Punishment for Hurt:**</w:t>
        <w:br/>
        <w:br/>
        <w:t>The punishment for simple hurt under Section 323 IPC is imprisonment up to one year, a fine up to ₹1,000, or both.  It is a cognizable and bailable offence triable by any Magistrate.</w:t>
        <w:br/>
        <w:br/>
        <w:br/>
        <w:br/>
        <w:t>**Conclusion:**</w:t>
        <w:br/>
        <w:br/>
        <w:t>Section 319 forms a fundamental part of the IPC, addressing the infliction of bodily harm in various forms. Its broad definition encompasses a range of injuries, from minor pain to the communication of diseases and the causing of infirmity.  Understanding the nuances of this section, its interpretation through judicial pronouncements, and its distinction from related offences is crucial for its proper application within the legal system. The varying degrees of hurt, culminating in grievous hurt, provide a framework for addressing offences against the physical and mental integrity of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