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333: Voluntarily causing grievous hurt to deter public servant from his duty.</w:t>
      </w:r>
    </w:p>
    <w:p>
      <w:r>
        <w:t>## IPC Section 333: Voluntarily Causing Grievous Hurt to Deter Public Servant from his Duty</w:t>
        <w:br/>
        <w:br/>
        <w:t>Section 333 of the Indian Penal Code (IPC) addresses the grave offence of intentionally inflicting grievous hurt on a public servant to deter them from performing their lawful duties.  This section builds upon the principles of Section 332, but focuses specifically on instances where the inflicted harm reaches the threshold of "grievous hurt," emphasizing the heightened culpability of individuals who resort to such violence and the serious consequences for the victims.  The harsher punishment prescribed under this section reflects the gravity of the crime and the need to strongly deter such attacks on public servants.</w:t>
        <w:br/>
        <w:br/>
        <w:t>**The Text of Section 333:**</w:t>
        <w:br/>
        <w:br/>
        <w:t>“Whoever voluntarily causes grievous hurt to any person being a public servant in the discharge of his duty as such public servant, or with intent to prevent or deter that person or any other public servant from discharging his duty as such public servant, or in consequence of anything done or attempted to be done by such person in the lawful discharge of his duty as such public servant, shall be punished with imprisonment of either description for a term which may extend to ten years, and shall also be liable to fine.”</w:t>
        <w:br/>
        <w:br/>
        <w:br/>
        <w:t>**Breaking Down the Elements of Section 333:**</w:t>
        <w:br/>
        <w:br/>
        <w:t>1. **Voluntarily Causing Grievous Hurt:** This constitutes the actus reus (guilty act). The perpetrator must intentionally inflict “grievous hurt” as defined under Section 320 of the IPC.  Grievous hurt encompasses a range of serious injuries, including:</w:t>
        <w:br/>
        <w:br/>
        <w:t xml:space="preserve">    * Emasculation.</w:t>
        <w:br/>
        <w:t xml:space="preserve">    * Permanent privation of the sight of either eye.</w:t>
        <w:br/>
        <w:t xml:space="preserve">    * Permanent privation of the hearing of either ear.</w:t>
        <w:br/>
        <w:t xml:space="preserve">    * Privation of any member or joint.</w:t>
        <w:br/>
        <w:t xml:space="preserve">    * Destruction or permanent impairing of the powers of any member or joint.</w:t>
        <w:br/>
        <w:t xml:space="preserve">    * Permanent disfiguration of the head or face.</w:t>
        <w:br/>
        <w:t xml:space="preserve">    * Fracture or dislocation of a bone or tooth.</w:t>
        <w:br/>
        <w:t xml:space="preserve">    * Any hurt which endangers life or which causes the sufferer to be during the space of twenty days in severe bodily pain, or unable to follow his ordinary pursuits.</w:t>
        <w:br/>
        <w:br/>
        <w:t xml:space="preserve">    The prosecution must establish a direct and voluntary causal link between the accused’s actions and the grievous hurt suffered by the public servant.</w:t>
        <w:br/>
        <w:br/>
        <w:br/>
        <w:t>2. **Public Servant:**  The victim must be a "public servant" as defined under Section 21 of the IPC.  This comprehensive definition includes government officials, judges, police officers, members of the armed forces, and anyone authorized to perform public duties.  The prosecution must prove the victim's status as a public servant at the time of the offence.</w:t>
        <w:br/>
        <w:br/>
        <w:t>3. **Discharge of Duty:**  The grievous hurt must be inflicted while the public servant is performing their official duties, or with the intention of preventing or deterring them from carrying out those duties.  This element emphasizes the connection between the infliction of grievous hurt and the public servant's official functions. The public servant needn't be actively engaged in a specific task at the exact moment of the assault; it’s sufficient if the grievous hurt is inflicted due to their role and their execution, or intended execution, of their duties.</w:t>
        <w:br/>
        <w:br/>
        <w:br/>
        <w:t>4. **Intent to Deter or Prevent:** This constitutes the mens rea (guilty mind). The perpetrator must have the specific intent to prevent the public servant from carrying out their duty or to deter them from doing so in the future.  This element highlights the motive behind the grievous hurt – to obstruct the public servant’s lawful functions. The deterrence or prevention need not be successful; the intent itself suffices to establish the offence.</w:t>
        <w:br/>
        <w:br/>
        <w:br/>
        <w:br/>
        <w:t>5. **Consequence of Lawful Discharge of Duty:** The section also encompasses situations where the grievous hurt is inflicted as a consequence of something the public servant has done or attempted to do in the lawful discharge of their duty. This protects public servants from retaliatory violence after performing their duties, ensuring they are not targeted for upholding the law.</w:t>
        <w:br/>
        <w:br/>
        <w:br/>
        <w:t>**Examples of Offences under Section 333:**</w:t>
        <w:br/>
        <w:br/>
        <w:t>* Causing permanent disability to a police officer trying to stop a riot.</w:t>
        <w:br/>
        <w:t>* Inflicting life-threatening injuries on a judge for delivering an unfavorable judgment.</w:t>
        <w:br/>
        <w:t>* Blinding a customs officer attempting to prevent smuggling.</w:t>
        <w:br/>
        <w:t>* Breaking the bones of a tax official conducting a raid.</w:t>
        <w:br/>
        <w:t>* Attacking a government official with acid for demolishing an illegal structure.</w:t>
        <w:br/>
        <w:br/>
        <w:br/>
        <w:t>**Punishment:**</w:t>
        <w:br/>
        <w:br/>
        <w:t>Section 333 prescribes a harsh punishment of imprisonment of either description (rigorous or simple) for a term which may extend to ten years, and a possible fine.  The court determines the appropriate penalty based on the specific circumstances, the severity of the injuries, the public servant's role, and the overall context.</w:t>
        <w:br/>
        <w:br/>
        <w:br/>
        <w:t>**Relationship with Other Sections:**</w:t>
        <w:br/>
        <w:br/>
        <w:t>* **Section 332 (Voluntarily causing hurt to deter public servant from his duty):** The key distinction lies in the severity of the injury. Section 333 deals with *grievous hurt* and carries a significantly harsher punishment, while Section 332 deals with simple hurt.</w:t>
        <w:br/>
        <w:t>* **Section 186 (Obstructing public servant in discharge of public functions):** This section deals with the obstruction of a public servant but doesn't necessarily involve causing any physical harm. Section 333 specifically addresses situations where grievous hurt is inflicted.</w:t>
        <w:br/>
        <w:t>* **Section 353 (Assault or criminal force to deter public servant from discharge of his duty):** This section focuses on using assault or criminal force to deter a public servant. While causing grievous hurt often involves force, Section 333 specifically requires the infliction of "grievous hurt" as defined under Section 320.</w:t>
        <w:br/>
        <w:t>* **Sections 307 and 308 (Attempt to murder and Attempt to commit culpable homicide):** If the act causing grievous hurt to the public servant was done with the intention to kill them, then sections 307 or 308 may be applicable depending on the circumstances.  Section 333 focuses on the intent to deter the public servant from their duty, not necessarily to cause their death.</w:t>
        <w:br/>
        <w:br/>
        <w:br/>
        <w:t>**Burden of Proof:**</w:t>
        <w:br/>
        <w:br/>
        <w:t>The prosecution bears the responsibility of proving all elements of Section 333 beyond a reasonable doubt. This includes establishing the infliction of grievous hurt, the victim's status as a public servant, the connection between the grievous hurt and the public servant's duty, and the intent to deter or prevent the public servant from carrying out their duty, or that the grievous hurt was a consequence of the public servant's lawful actions.</w:t>
        <w:br/>
        <w:br/>
        <w:br/>
        <w:t>**Conclusion:**</w:t>
        <w:br/>
        <w:br/>
        <w:t>Section 333 of the IPC serves as a vital safeguard for public servants against violent attacks intended to deter them from performing their duties.  The stringent penalties highlight the seriousness with which the law views such offences and aim to deter individuals from resorting to violence against those who uphold the law and maintain public order.  By specifically addressing the infliction of grievous hurt, the section recognizes the potential for lasting physical and psychological consequences for victims and seeks to ensure appropriate justice for such attacks.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