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345: Wrongful confinement of person for whose liberation writ has been issued.</w:t>
      </w:r>
    </w:p>
    <w:p>
      <w:r>
        <w:t>## Section 345 of the Indian Penal Code: Wrongful Confinement of Person for Whose Liberation Writ Has Been Issued</w:t>
        <w:br/>
        <w:br/>
        <w:t>Section 345 of the Indian Penal Code (IPC) deals with a highly specific and aggravated form of wrongful confinement. It addresses situations where a person is wrongfully confined *after* a writ for their liberation has been issued by a court. This section underscores the gravity of defying a court order and obstructing the course of justice, leading to enhanced punishment compared to other forms of wrongful confinement.</w:t>
        <w:br/>
        <w:br/>
        <w:t>**The Text of Section 345:**</w:t>
        <w:br/>
        <w:br/>
        <w:t>"Whoever keeps any person in wrongful confinement, knowing that a writ for the liberation of such person has been issued shall be punished with imprisonment of either description for a term which may extend to two years in addition to any term of imprisonment to which he may be liable under any other section of this Code."</w:t>
        <w:br/>
        <w:br/>
        <w:br/>
        <w:t>**Breaking Down the Section:**</w:t>
        <w:br/>
        <w:br/>
        <w:t>1. **"Whoever keeps any person in wrongful confinement":**  This phrase establishes the foundational offence as wrongful confinement, as defined under Section 340 of the IPC.  Therefore, all the essential elements of wrongful confinement must be present for Section 345 to be applicable. These include:</w:t>
        <w:br/>
        <w:br/>
        <w:t xml:space="preserve">    * **Wrongful Restraint (Section 339):**  The act must involve a voluntary obstruction of a person's right to move freely.</w:t>
        <w:br/>
        <w:t xml:space="preserve">    * **Circumscribing Limits:**  The victim's movement must be restricted within specific boundaries, whether physical or virtual.</w:t>
        <w:br/>
        <w:t xml:space="preserve">    * **Prevention from Proceeding Beyond Limits:** The restraint must effectively prevent the victim from leaving the confined area.</w:t>
        <w:br/>
        <w:t xml:space="preserve">    * **Mens Rea (Guilty Mind):**  The accused must have the intention to confine the victim or the knowledge that their actions will result in confinement.</w:t>
        <w:br/>
        <w:br/>
        <w:t>2. **"knowing that a writ for the liberation of such person has been issued":** This is the crucial element that distinguishes Section 345 and triggers the enhanced punishment. The accused must be *aware* that a court has issued a writ, order, or direction specifically for the release of the confined person. This knowledge is a critical aspect of the *mens rea* for this offence. The writ could be a habeas corpus writ, a release order from a criminal court, or any other legal instrument directing the release of the person.</w:t>
        <w:br/>
        <w:br/>
        <w:t>3. **"shall be punished with imprisonment of either description":** This mandates punishment upon conviction. The court has no discretion to completely waive the punishment.  However, it can choose between simple imprisonment (without hard labor) and rigorous imprisonment (with hard labor) based on the specific facts and circumstances of the case.</w:t>
        <w:br/>
        <w:br/>
        <w:t>4. **"for a term which may extend to two years":** This sets the maximum additional imprisonment term at two years.  It's important to understand that this is *in addition to* any other punishment the accused might be liable for under other sections of the IPC, including the punishment for the underlying wrongful confinement itself (Sections 341, 342, 343, or 344).</w:t>
        <w:br/>
        <w:br/>
        <w:t>5. **"in addition to any term of imprisonment to which he may be liable under any other section of this Code":** This clarifies the cumulative nature of the punishment. The two-year imprisonment under Section 345 is not a substitute for the punishment prescribed for the original wrongful confinement. The accused will face separate punishments for both offences. For instance, if the wrongful confinement also falls under Section 344 (confinement for ten or more days), the accused could face up to three years under Section 344 *plus* up to two years under Section 345, for a total of up to five years.</w:t>
        <w:br/>
        <w:br/>
        <w:br/>
        <w:t>**Rationale for Enhanced Punishment:**</w:t>
        <w:br/>
        <w:br/>
        <w:t>The enhanced punishment under Section 345 reflects the seriousness of obstructing the administration of justice. By continuing to confine a person after a court has ordered their release, the accused directly challenges the court's authority and undermines the rule of law.  This necessitates a stronger deterrent and a more severe consequence.</w:t>
        <w:br/>
        <w:br/>
        <w:t>**Significance of "Knowing":**</w:t>
        <w:br/>
        <w:br/>
        <w:t>The element of "knowing" is crucial for establishing the offence under Section 345. The prosecution must prove beyond reasonable doubt that the accused was aware of the existence and content of the writ ordering the release of the confined person.  Mere suspicion or negligence is insufficient. The accused's knowledge can be inferred from circumstantial evidence, such as communication of the writ to the accused, their presence in court when the writ was issued, or their subsequent conduct.</w:t>
        <w:br/>
        <w:br/>
        <w:br/>
        <w:t>**Examples:**</w:t>
        <w:br/>
        <w:br/>
        <w:t>* A person continues to detain someone despite being served with a habeas corpus writ ordering their release.</w:t>
        <w:br/>
        <w:t>* A jailer refuses to release a prisoner even after receiving a court order for their discharge.</w:t>
        <w:br/>
        <w:t>* An individual keeps someone confined despite being aware of a bail order granting their release.</w:t>
        <w:br/>
        <w:br/>
        <w:br/>
        <w:t>**Difference from Contempt of Court:**</w:t>
        <w:br/>
        <w:br/>
        <w:t>While Section 345 addresses wrongful confinement in defiance of a court order, it is distinct from the offence of contempt of court. Contempt of court is a broader concept encompassing various acts that disrespect or obstruct the judicial process.  Wrongful confinement under Section 345 can constitute contempt of court, but it is specifically punishable under this section due to the added element of continued confinement.  The accused can face separate proceedings and penalties for both contempt of court and wrongful confinement under Section 345.</w:t>
        <w:br/>
        <w:br/>
        <w:br/>
        <w:br/>
        <w:t>**Conclusion:**</w:t>
        <w:br/>
        <w:br/>
        <w:t>Section 345 of the IPC serves as a critical safeguard against the defiance of judicial authority and the continued deprivation of liberty in violation of court orders. The enhanced punishment highlights the importance of respecting judicial pronouncements and ensuring the prompt release of individuals when so directed by a court. Understanding the elements of wrongful confinement, the significance of the accused's knowledge of the writ, and the cumulative nature of the punishment under this section is essential for its proper application and the protection of individual liberty.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