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352: Punishment for assault or criminal force otherwise than on grave provocation.</w:t>
      </w:r>
    </w:p>
    <w:p>
      <w:r>
        <w:t>## IPC Section 352: Punishment for Assault or Criminal Force Otherwise Than On Grave Provocation</w:t>
        <w:br/>
        <w:br/>
        <w:t>Section 352 of the Indian Penal Code (IPC) deals with the punishment for assault or criminal force committed without grave provocation. It serves as a crucial provision to safeguard individuals from unlawful physical harm or the threat thereof, in situations where the perpetrator's actions are not justified by any serious or sudden provocation.  Understanding this section requires a breakdown of its key components: Assault, Criminal Force, Grave Provocation, and the prescribed punishment.</w:t>
        <w:br/>
        <w:br/>
        <w:t>**1. Assault:**</w:t>
        <w:br/>
        <w:br/>
        <w:t>Assault, as defined in Section 351 of the IPC, refers to making any gesture or preparation intending or knowing it to be likely that such gesture or preparation will cause any person present to apprehend that he who makes that gesture or preparation is about to use criminal force to that person.  Crucially, physical contact is not necessary for an act to constitute assault.  The essential elements are:</w:t>
        <w:br/>
        <w:br/>
        <w:t>* **Gesture or Preparation:** This includes any visible act or arrangement indicating an imminent use of force.  Examples include raising a fist, brandishing a weapon, or advancing menacingly.</w:t>
        <w:br/>
        <w:t>* **Intention or Knowledge:** The perpetrator must either intend to create apprehension of criminal force or know that their actions are likely to do so.</w:t>
        <w:br/>
        <w:t>* **Apprehension of Criminal Force:** The victim must reasonably apprehend the immediate use of unlawful force against them. This apprehension must be based on the perpetrator's actions and the surrounding circumstances.</w:t>
        <w:br/>
        <w:br/>
        <w:t>**2. Criminal Force:**</w:t>
        <w:br/>
        <w:br/>
        <w:t>Criminal force, defined under Section 350 of the IPC, involves intentionally using force to any person, without that person’s consent, in order to cause:</w:t>
        <w:br/>
        <w:br/>
        <w:t>* **Motion:** Compelling the person to move, change position, or proceed in a direction they would not otherwise have taken.</w:t>
        <w:br/>
        <w:t>* **Fear of Instant Hurt:** Causing the person to fear immediate physical harm.</w:t>
        <w:br/>
        <w:t>* **Change in Atmospheric Pressure:** Affecting the air surrounding a person, however slightly.</w:t>
        <w:br/>
        <w:br/>
        <w:t>The key elements are:</w:t>
        <w:br/>
        <w:br/>
        <w:t>* **Intention:** The perpetrator must intend to use force. Accidental contact does not constitute criminal force.</w:t>
        <w:br/>
        <w:t>* **Use of Force:** This encompasses any physical contact, however slight, without consent.</w:t>
        <w:br/>
        <w:t>* **Without Consent:** The force must be applied without the free and informed consent of the person subjected to it.</w:t>
        <w:br/>
        <w:br/>
        <w:t>**3. Grave and Sudden Provocation:**</w:t>
        <w:br/>
        <w:br/>
        <w:t>The phrase "otherwise than on grave and sudden provocation" in Section 352 signifies an exception to the application of the section.  If the assault or criminal force is committed under grave and sudden provocation, Section 352 does not apply, and the act may fall under Exception 1 to Section 300 (Culpable Homicide not amounting to Murder) if it results in death. The concept of grave and sudden provocation is a complex one and relies on a subjective assessment of the circumstances:</w:t>
        <w:br/>
        <w:br/>
        <w:t>* **Grave:** The provocation must be serious and sufficiently impactful to disturb the self-control of a reasonable person.  Minor annoyances or insults are insufficient.</w:t>
        <w:br/>
        <w:t>* **Sudden:** The provocation must be unexpected and immediate, leaving little or no time for the passions to cool down.  A considered response to past grievances does not qualify.</w:t>
        <w:br/>
        <w:t>* **Objective Standard:** While the impact of provocation is subjective, the assessment must be based on the standard of a reasonable person in the same situation.  The court considers factors such as the perpetrator’s background, cultural context, and the nature of the provocation.</w:t>
        <w:br/>
        <w:br/>
        <w:t>**4. Punishment:**</w:t>
        <w:br/>
        <w:br/>
        <w:t>Section 352 prescribes the punishment for assault or criminal force committed without grave and sudden provocation as:</w:t>
        <w:br/>
        <w:br/>
        <w:t>* **Imprisonment:**  Up to three months.</w:t>
        <w:br/>
        <w:t>* **Fine:** Up to five hundred rupees.</w:t>
        <w:br/>
        <w:t>* **Both:** Imprisonment and fine.</w:t>
        <w:br/>
        <w:br/>
        <w:t>The punishment is relatively light, reflecting the fact that Section 352 deals with instances of assault or criminal force that are not of the most serious nature. However, it still serves as a deterrent against unlawful physical harm and threats.</w:t>
        <w:br/>
        <w:br/>
        <w:t>**5.  Distinction from other offences:**</w:t>
        <w:br/>
        <w:br/>
        <w:t>Section 352 needs to be distinguished from other offences related to hurt and grievous hurt.  If the assault or criminal force results in any physical injury, Section 320 (Hurt) or 322 (Grievous Hurt) may become applicable, depending on the severity of the injury.  These sections prescribe more severe punishments than Section 352.</w:t>
        <w:br/>
        <w:br/>
        <w:t>**6. Cognizable and Bailable Offence:**</w:t>
        <w:br/>
        <w:br/>
        <w:t>Section 352 defines an offence that is both cognizable and bailable. This means that the police have the power to arrest the accused without a warrant, and the accused is entitled to be released on bail.  However, the grant of bail is at the discretion of the court.</w:t>
        <w:br/>
        <w:br/>
        <w:t>**7. Compoundable Offence:**</w:t>
        <w:br/>
        <w:br/>
        <w:t>Section 352 defines a compoundable offence. This means that the parties involved can mutually settle the case and withdraw the complaint with the permission of the court, even after legal proceedings have commenced.  This promotes amicable resolution of disputes.</w:t>
        <w:br/>
        <w:br/>
        <w:br/>
        <w:t>In conclusion, Section 352 of the IPC plays a vital role in protecting individuals from unwarranted physical aggression or threats thereof. It punishes assault and criminal force committed without grave and sudden provocation.  The provision requires a careful analysis of the constituent elements of assault and criminal force, the presence or absence of grave and sudden provocation, and the prescribed punishment. Its cognizable, bailable, and compoundable nature reflect the legislative intent to balance the need to protect individuals with the potential for amicable resolution of disputes.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