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 Persons concerned in criminal act may be guilty of different offences.</w:t>
      </w:r>
    </w:p>
    <w:p>
      <w:r>
        <w:t>## Section 38 of the Indian Penal Code: Disentangling Shared Criminal Liability</w:t>
        <w:br/>
        <w:br/>
        <w:t>Section 38 of the Indian Penal Code (IPC) addresses the critical issue of differing levels of culpability when multiple individuals are involved in a single criminal act.  It elucidates that even though several persons may partake in the commission of an offense, they might not be equally responsible or liable for the same offense. Each individual's role, intention, and knowledge pertaining to the criminal act can vary, leading to different charges and punishments. This principle is crucial for ensuring fairness and proportionality in the criminal justice system.</w:t>
        <w:br/>
        <w:br/>
        <w:t>The section succinctly states: "Where several persons are engaged or concerned in the commission of a criminal act, they may be guilty of different offences by reason of the different intentions with which they participate in such act."</w:t>
        <w:br/>
        <w:br/>
        <w:t>**Deconstructing the Elements of Section 38:**</w:t>
        <w:br/>
        <w:br/>
        <w:t>1. **"Several persons...engaged or concerned in the commission of a criminal act":** This phrase lays the foundation for the application of Section 38.  It necessitates the involvement of multiple individuals in a single criminal act. The phrase "engaged or concerned" casts a wide net, encompassing both active participants who directly execute the offense and those who play a facilitating role, such as aiding, abetting, or conspiring.  The degree of involvement can range from direct physical participation to providing logistical support or even merely offering encouragement.</w:t>
        <w:br/>
        <w:br/>
        <w:br/>
        <w:t>2. **"Different offences":** This element underscores the central tenet of Section 38: individuals involved in the same criminal act may be liable for *different* offenses. This divergence in liability stems from the varying nature of their involvement and intentions. For instance, in a robbery, one person may be charged with robbery itself, while another, acting as a lookout, could be charged with abetment to robbery or even a lesser offense depending on their specific actions and knowledge.</w:t>
        <w:br/>
        <w:br/>
        <w:br/>
        <w:t>3. **"Different intentions":**  This phrase is the crux of the section.  It highlights that the difference in offences arises from the "different intentions" with which each person participates in the criminal act.  "Intention" here encompasses both the specific *mens rea* (guilty mind) required for the particular offense and the overall objective each individual seeks to achieve through their participation.  A person wielding a weapon with the intent to kill during a robbery might be charged with murder or attempted murder, while an accomplice unaware of this murderous intent and participating only for the theft might face charges related to robbery alone.</w:t>
        <w:br/>
        <w:br/>
        <w:br/>
        <w:t>**Illustrative Examples:**</w:t>
        <w:br/>
        <w:br/>
        <w:t>Several examples can clarify the application of Section 38:</w:t>
        <w:br/>
        <w:br/>
        <w:t>* **Case 1: Robbery with Murder:** A group of individuals plans a robbery.  One member, unknown to the others, carries a concealed weapon and intends to kill any resistance. During the robbery, this individual fatally shoots a security guard.  The individual who committed the shooting would be liable for murder, while the others, unaware of the murderous intent, might be liable for robbery and potentially other related offenses, but not for murder.</w:t>
        <w:br/>
        <w:br/>
        <w:br/>
        <w:t>* **Case 2: Assault with differing intents:**  A group attacks an individual.  One attacker intends to cause grievous hurt while others only intend to cause simple hurt. The person intending grievous hurt and acting upon that intention could face charges for grievous hurt, while others might face charges for simple hurt based on their respective actions and intentions.</w:t>
        <w:br/>
        <w:br/>
        <w:br/>
        <w:t>* **Case 3: Rioting with differing levels of participation:** During a riot, some individuals may actively engage in violence, destruction of property, or arson, while others may merely participate by shouting slogans or being present at the scene.  Those directly involved in violent acts would face more serious charges compared to those whose participation was less direct.</w:t>
        <w:br/>
        <w:br/>
        <w:br/>
        <w:t>**Distinction from Section 34:**</w:t>
        <w:br/>
        <w:br/>
        <w:t>It's essential to differentiate Section 38 from Section 34, which deals with common intention. Section 34 focuses on shared liability when individuals act with a common intention, even if their specific roles differ. In contrast, Section 38 addresses scenarios where individuals involved in the same criminal act might have *different* intentions, leading to differing liabilities. While Section 34 focuses on *shared* responsibility, Section 38 emphasizes *individualized* responsibility based on distinct intentions.</w:t>
        <w:br/>
        <w:br/>
        <w:br/>
        <w:t>**Significance of Section 38:**</w:t>
        <w:br/>
        <w:br/>
        <w:t>Section 38 plays a crucial role in ensuring that criminal liability is accurately apportioned based on individual culpability. It prevents individuals from being held liable for offenses they did not intend to commit or for outcomes they could not have foreseen. This aligns with the fundamental principles of criminal law that emphasize the importance of *mens rea* and proportionality in punishment.  It ensures that justice is served by holding each individual accountable for their own actions and intentions, rather than imposing blanket liability based solely on participation in a shared criminal act.</w:t>
        <w:br/>
        <w:br/>
        <w:t>In conclusion, Section 38 of the IPC provides a nuanced approach to addressing the complexities of shared criminal liability. It acknowledges that individuals involved in the same criminal act can have different intentions and consequently, different levels of culpability. By focusing on individual intentions, Section 38 promotes a just and equitable application of criminal law, ensuring that punishment is proportionate to the individual's role and mental state in the commission of the offense. This principle is essential for safeguarding the rights of the accused and upholding the principles of fairness and proportionality in the criminal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