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383: Extortion.</w:t>
      </w:r>
    </w:p>
    <w:p>
      <w:r>
        <w:t>Section 383 of the Indian Penal Code (IPC) defines and penalizes the offence of extortion.  Extortion, in essence, involves unlawfully compelling a person to deliver property or valuable security by putting them in fear of injury. This fear can be directed at the person themselves or anyone they care about.  This section safeguards individuals from being coerced into parting with their possessions or valuables under duress.</w:t>
        <w:br/>
        <w:br/>
        <w:t>**Detailed Explanation of Section 383:**</w:t>
        <w:br/>
        <w:br/>
        <w:t>The essential elements of extortion as defined under Section 383 are:</w:t>
        <w:br/>
        <w:br/>
        <w:t>1. **Intentionally putting any person in fear of any injury:** This is the core of the offence. The accused must deliberately induce fear in the victim's mind. The "injury" referred to here encompasses any harm, whether physical, psychological, reputational, or property-related.  The fear must be reasonable and justified in the given circumstances.  A mere apprehension or vague anxiety is not sufficient.  The prosecution needs to demonstrate that a reasonable person in the victim's position would have felt genuine fear of the threatened injury.  The nature of the injury threatened can vary significantly.  Examples include:</w:t>
        <w:br/>
        <w:br/>
        <w:t xml:space="preserve">    * **Physical injury:** Threatening to inflict bodily harm, such as assault, battery, or even murder.</w:t>
        <w:br/>
        <w:t xml:space="preserve">    * **Injury to reputation:** Threatening to expose secrets, spread false rumors, or damage the victim's social standing.</w:t>
        <w:br/>
        <w:t xml:space="preserve">    * **Injury to property:** Threatening to damage or destroy the victim's belongings, including their house, vehicle, or other valuable possessions.</w:t>
        <w:br/>
        <w:t xml:space="preserve">    * **Injury to a third person:** The threatened injury can be directed not just at the victim but also at someone they care about, such as a family member or close friend.</w:t>
        <w:br/>
        <w:br/>
        <w:t>2. **Dishonestly inducing the person so put in fear to deliver to any person any property or valuable security:**  The fear instilled in the victim must be the driving force behind their decision to hand over the property or valuable security. The accused must exploit this fear to obtain something of value.  The transfer of property or valuable security must be a direct consequence of the induced fear.  The term "property" has a wide meaning and encompasses anything capable of being owned. "Valuable security" refers to a document that creates, transfers, surrenders, or extinguishes a right or obligation, or acknowledges the receipt of money or goods, such as a bond, promissory note, or deed.</w:t>
        <w:br/>
        <w:br/>
        <w:t>3. **The property or valuable security must be delivered with the intention of causing wrongful gain to one person or wrongful loss to another person:**  This element establishes the dishonest intent behind the act.  The accused must intend to benefit themselves or another person unlawfully or cause unlawful loss to the victim.  The gain or loss can be pecuniary or otherwise.</w:t>
        <w:br/>
        <w:br/>
        <w:t>**Punishment under Section 383:**</w:t>
        <w:br/>
        <w:br/>
        <w:t>Extortion is punishable with imprisonment of either description for a term which may extend to three years, or with fine, or with both.</w:t>
        <w:br/>
        <w:br/>
        <w:t>**Distinction from other Sections:**</w:t>
        <w:br/>
        <w:br/>
        <w:t>It's crucial to differentiate extortion from related offences:</w:t>
        <w:br/>
        <w:br/>
        <w:t>* **Section 384 (Extortion by putting a person in fear of death or grievous hurt):** This is an aggravated form of extortion where the threatened injury is specifically death or grievous hurt.  It carries a more severe punishment.</w:t>
        <w:br/>
        <w:br/>
        <w:t>* **Section 385 (Putting person in fear of injury in order to commit extortion):**  This section covers the act of putting someone in fear of injury with the *intention* of committing extortion, even if the extortion is not ultimately successful.  It penalizes the attempt to extort.</w:t>
        <w:br/>
        <w:br/>
        <w:t>* **Section 386 (Extortion by putting a person in fear of death or grievous hurt):** Similar to Section 384 but applies when the fear is instilled by putting a person in fear of death or grievous hurt to any person.</w:t>
        <w:br/>
        <w:br/>
        <w:t>* **Section 387 (Putting person in fear of death or grievous hurt, in order to commit extortion):** This deals with the attempt to commit extortion by putting a person in fear of death or grievous hurt.</w:t>
        <w:br/>
        <w:br/>
        <w:t>* **Section 392 (Robbery):** Robbery involves the use of force or threat of immediate force to commit theft.  Extortion, while also involving a threat, does not necessarily require immediate force and focuses on the dishonest inducement of fear to obtain property or valuable security.</w:t>
        <w:br/>
        <w:br/>
        <w:t>* **Section 378 (Theft):** In theft, there's no element of threat or inducement of fear. The taking of property is done without the owner's consent.</w:t>
        <w:br/>
        <w:br/>
        <w:t>* **Section 403 (Dishonest misappropriation of property):**  This involves misusing property that is already in one's possession, unlike extortion, which focuses on obtaining property through threats.</w:t>
        <w:br/>
        <w:br/>
        <w:br/>
        <w:t>**Evidentiary Considerations:**</w:t>
        <w:br/>
        <w:br/>
        <w:t>To secure a conviction under Section 383, the prosecution must prove:</w:t>
        <w:br/>
        <w:br/>
        <w:t>* The accused intentionally put the victim in fear of injury.</w:t>
        <w:br/>
        <w:t>* The fear induced the victim to deliver property or valuable security.</w:t>
        <w:br/>
        <w:t>* The accused acted dishonestly with the intention of causing wrongful gain or loss.</w:t>
        <w:br/>
        <w:br/>
        <w:t>Evidence can include the victim's testimony, witness accounts, written or electronic communications containing threats, and any other relevant material that establishes the elements of the offence.  The victim's state of mind and the reasonableness of their fear are crucial considerations.</w:t>
        <w:br/>
        <w:br/>
        <w:br/>
        <w:t>In summary, Section 383 of the IPC protects individuals from being forced to relinquish their property or valuables under duress. It criminalizes the act of intentionally inducing fear of injury to obtain something of value, emphasizing the importance of safeguarding individuals from coercion and intimidation. The section, along with related provisions, forms a comprehensive legal framework to address various forms of extortion and attempts to extort, ensuring that those who employ such tactics face the consequences of their actions.</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