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406: Punishment for criminal breach of trust.</w:t>
      </w:r>
    </w:p>
    <w:p>
      <w:r>
        <w:t>## IPC Section 406: Punishment for Criminal Breach of Trust – A Detailed Analysis</w:t>
        <w:br/>
        <w:br/>
        <w:t>Section 406 of the Indian Penal Code (IPC) specifically addresses the punishment for the offense of criminal breach of trust, as defined under Section 405.  It outlines the penalties imposed on individuals convicted of misappropriating or converting property entrusted to them.  This section serves as a deterrent against dishonest conduct and underscores the importance of upholding trust relationships.</w:t>
        <w:br/>
        <w:br/>
        <w:t>**The Section:**</w:t>
        <w:br/>
        <w:br/>
        <w:t>Section 406 states: "Whoever commits criminal breach of trust shall be punished with imprisonment of either description for a term which may extend to three years, or with fine, or with both."</w:t>
        <w:br/>
        <w:br/>
        <w:t>**Understanding the Punishment:**</w:t>
        <w:br/>
        <w:br/>
        <w:t>1. **Imprisonment of either description:** This phrase signifies that the court has the discretion to impose either rigorous imprisonment (involving hard labor) or simple imprisonment (without hard labor). The choice depends on the severity of the offense, the accused's criminal history, and other relevant factors.</w:t>
        <w:br/>
        <w:br/>
        <w:t>2. **Term which may extend to three years:** The section prescribes a maximum imprisonment term of three years.  This means the court can impose a sentence ranging from a few days to a maximum of three years, based on the specifics of the case.</w:t>
        <w:br/>
        <w:br/>
        <w:t>3. **Fine:** In addition to imprisonment, or as a standalone penalty, the court can impose a fine.  The amount of the fine is not specified in the section and is left to the court's discretion, considering the nature of the offense, the value of the misappropriated property, and the accused's financial capacity.</w:t>
        <w:br/>
        <w:br/>
        <w:t>4. **Both imprisonment and fine:** The court also has the power to impose both imprisonment and fine concurrently. This is often done in cases involving significant amounts of misappropriated property or where the breach of trust is particularly egregious.</w:t>
        <w:br/>
        <w:br/>
        <w:br/>
        <w:t>**Factors Influencing the Sentence:**</w:t>
        <w:br/>
        <w:br/>
        <w:t>While the maximum punishment is capped at three years, several factors influence the actual sentence imposed by the court:</w:t>
        <w:br/>
        <w:br/>
        <w:t>* **Value of the misappropriated property:**  A higher value of misappropriated property generally leads to a more severe sentence.</w:t>
        <w:br/>
        <w:t>* **Nature of the trust relationship:**  Breaching a trust in a close personal relationship, like a family member or a close friend, may be viewed more seriously than breaching a professional trust.</w:t>
        <w:br/>
        <w:t>* **Intention of the accused:**  The degree of dishonesty and the accused's motive play a significant role.  A deliberate and planned misappropriation is likely to attract a harsher punishment than a misappropriation committed in a moment of weakness.</w:t>
        <w:br/>
        <w:t>* **Impact on the victim:** The financial and emotional impact of the breach of trust on the victim can be considered by the court.</w:t>
        <w:br/>
        <w:t>* **Criminal history of the accused:**  Prior convictions, especially for similar offenses, can lead to a more severe sentence.</w:t>
        <w:br/>
        <w:t>* **Conduct of the accused during the trial:** Showing remorse and cooperating with the investigation may influence the court's decision in favor of a lighter sentence.</w:t>
        <w:br/>
        <w:br/>
        <w:br/>
        <w:t>**Enhanced Punishment under Specific Circumstances:**</w:t>
        <w:br/>
        <w:br/>
        <w:t>While Section 406 provides the general punishment for criminal breach of trust, certain circumstances attract enhanced penalties under other sections of the IPC:</w:t>
        <w:br/>
        <w:br/>
        <w:t>* **Criminal breach of trust by a public servant, banker, merchant, agent, or attorney:** Section 409 prescribes a punishment of life imprisonment or imprisonment of either description for a term which may extend to ten years and shall also be liable to fine. This reflects the greater responsibility and trust placed in these individuals.</w:t>
        <w:br/>
        <w:br/>
        <w:t>* **Criminal breach of trust by a carrier, wharfinger, or warehouse-keeper:** Section 407 stipulates imprisonment of either description for a term which may extend to seven years and shall also be liable to fine.  This addresses the specific vulnerability of goods entrusted to these professionals during transit or storage.</w:t>
        <w:br/>
        <w:br/>
        <w:t>* **Criminal breach of trust in respect of property of a co-operative society:** This is punishable under Section 408A with imprisonment for a term which may extend to five years and with fine which may extend to one lakh rupees or with both. This reflects the importance of protecting the collective assets of cooperative societies.</w:t>
        <w:br/>
        <w:br/>
        <w:br/>
        <w:br/>
        <w:t>**Compounding of the Offense:**</w:t>
        <w:br/>
        <w:br/>
        <w:t>Under Section 320 of the Code of Criminal Procedure, 1973, certain offenses can be compounded, meaning the parties can reach a compromise and the case can be withdrawn. However, criminal breach of trust is generally not compoundable, except with the permission of the court that is taking cognizance of the offense. The court considers factors like the nature of the offense, the relationship between the parties, and the likelihood of reconciliation before granting permission for compounding.</w:t>
        <w:br/>
        <w:br/>
        <w:br/>
        <w:t>**Conclusion:**</w:t>
        <w:br/>
        <w:br/>
        <w:t>Section 406 of the IPC plays a crucial role in deterring individuals from misappropriating entrusted property. The flexible sentencing framework allows the court to tailor the punishment to the specific facts of each case, ensuring that the penalty reflects the severity of the breach of trust.  The availability of enhanced punishment for specific categories of offenders further reinforces the message that violating trust will have serious legal consequences.  Furthermore, the limited possibility of compounding underscores the gravity of the offense and the need to hold those who violate trust accountable.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