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427: Mischief causing damage to the amount of fifty rupees.</w:t>
      </w:r>
    </w:p>
    <w:p>
      <w:r>
        <w:t>## IPC Section 427: Mischief Causing Damage to the Amount of Fifty Rupees</w:t>
        <w:br/>
        <w:br/>
        <w:t>Section 427 of the Indian Penal Code (IPC) addresses a specific form of mischief, where the damage caused amounts to fifty rupees or upwards.  It represents an aggravated form of the general mischief offence defined in Section 425 and carries a more stringent punishment than simple mischief under Section 426. This heightened penalty reflects the greater financial harm inflicted when the damage exceeds the specified threshold.  It's important to note that while the section mentions "fifty rupees," this threshold has been amended by various state amendments to reflect changing economic realities.  It is crucial to consult the relevant state amendment to ascertain the current monetary threshold. For the purpose of this explanation, we will refer to the original text mentioning fifty rupees, keeping in mind this crucial caveat.</w:t>
        <w:br/>
        <w:br/>
        <w:t>**Understanding the Elements of Section 427**</w:t>
        <w:br/>
        <w:br/>
        <w:t>To establish an offence under Section 427, the prosecution must prove the following elements beyond a reasonable doubt:</w:t>
        <w:br/>
        <w:br/>
        <w:t>1. **Mischief as defined in Section 425:** The foundation of Section 427 lies in the commission of mischief as defined under Section 425.  This requires proving:</w:t>
        <w:br/>
        <w:t xml:space="preserve">    * **An act causing destruction, damage, diminution in value or utility, or rendering property useless or inoperative.**</w:t>
        <w:br/>
        <w:t xml:space="preserve">    * **The act being directed towards another person's property (or one's own with intent to harm another).**</w:t>
        <w:br/>
        <w:t xml:space="preserve">    * **The accused committing the act with the intention to cause wrongful loss or damage, or with the knowledge that they are likely to cause such loss or damage.**</w:t>
        <w:br/>
        <w:br/>
        <w:t>2. **Damage to the Amount of Fifty Rupees or Upwards:** The damage caused by the mischievous act must amount to fifty rupees or more. This is the crucial element that distinguishes Section 427 from simple mischief under Section 426.  The "damage" refers to the monetary loss suffered by the owner of the property due to the mischief.  This is typically assessed based on the cost of repair or replacement of the damaged property or the diminution in its market value.</w:t>
        <w:br/>
        <w:br/>
        <w:t>**Determining the Amount of Damage:**</w:t>
        <w:br/>
        <w:br/>
        <w:t>Assessing the amount of damage is crucial for applying Section 427. The following factors are typically considered:</w:t>
        <w:br/>
        <w:br/>
        <w:t>* **Cost of Repairs:** If the property can be repaired, the cost of restoring it to its original condition is a primary factor.</w:t>
        <w:br/>
        <w:t>* **Cost of Replacement:** If the property is destroyed or irreparably damaged, the cost of acquiring a similar replacement is considered.</w:t>
        <w:br/>
        <w:t>* **Diminution in Market Value:** If the mischief reduces the market value of the property, the difference in value before and after the act is considered.</w:t>
        <w:br/>
        <w:t>* **Expert Evidence:**  In complex cases, expert opinions from valuers or other professionals might be necessary to accurately assess the damage.</w:t>
        <w:br/>
        <w:br/>
        <w:t>It's important to remember that the value is calculated at the time of the offence, not its current value.</w:t>
        <w:br/>
        <w:br/>
        <w:t>**Punishment under Section 427:**</w:t>
        <w:br/>
        <w:br/>
        <w:t>Section 427 prescribes imprisonment of either description for a term which may extend to two years, or with fine, or with both. This is a more severe punishment than the three months imprisonment or fine stipulated for simple mischief under Section 426 where the property's value is fifty rupees or more. The enhanced penalty reflects the greater financial harm caused by mischief exceeding the specified monetary threshold.</w:t>
        <w:br/>
        <w:br/>
        <w:t>**Distinction between Section 427 and other related sections:**</w:t>
        <w:br/>
        <w:br/>
        <w:t>* **Section 425 (Mischief):**  Section 425 defines the general offence of mischief, while Section 427 specifies a particular type of mischief with a higher threshold of damage and a more severe punishment.</w:t>
        <w:br/>
        <w:br/>
        <w:t>* **Section 426 (Punishment for mischief):**  Section 426 provides the punishment for simple mischief, differentiating based on the value of the property.  Section 427 specifically addresses mischief where the damage exceeds fifty rupees and imposes a harsher penalty.</w:t>
        <w:br/>
        <w:br/>
        <w:t>* **Sections 428-440 (Mischief with aggravated forms):** These sections define further aggravated forms of mischief with even harsher penalties, such as mischief by killing or maiming animals, mischief by fire or explosive substance, etc.  If the act qualifies under both Section 427 and one of the aggravated forms, the more severe punishment prescribed for the aggravated form will apply.</w:t>
        <w:br/>
        <w:br/>
        <w:br/>
        <w:t>**Illustrations of Section 427:**</w:t>
        <w:br/>
        <w:br/>
        <w:t>* **A sets fire to B's haystack, causing damage worth 100 rupees.** This would fall under Section 427.</w:t>
        <w:br/>
        <w:t>* **C deliberately crashes his car into D's motorbike, causing damage worth 60 rupees.** This act also falls under Section 427.</w:t>
        <w:br/>
        <w:t>* **E poisons F's well, causing damage estimated at 500 rupees.** While this act qualifies under Section 427, it might also fall under Section 430 (mischief by poisoning a water source), which carries a more severe punishment. Thus, Section 430 would apply.</w:t>
        <w:br/>
        <w:br/>
        <w:br/>
        <w:br/>
        <w:t>**In Conclusion:**</w:t>
        <w:br/>
        <w:br/>
        <w:t>Section 427 of the IPC serves as an important provision for addressing instances of mischief where the damage caused reaches a specific monetary threshold. It provides a more stringent penalty than simple mischief, reflecting the increased harm inflicted.  Understanding the elements of Section 427, including the accurate assessment of damage, and its relationship with other related sections is crucial for legal professionals, law enforcement, and the public to appropriately address instances of property damage and ensure proportionate legal consequences.  It is also essential to remember the importance of verifying the applicable monetary threshold as per the relevant state amendment.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