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434: Mischief by destroying or moving, etc., a land-mark fixed by public authority.</w:t>
      </w:r>
    </w:p>
    <w:p>
      <w:r>
        <w:t>## IPC Section 434: Mischief by Destroying or Moving, etc., a Landmark Fixed by Public Authority – A Detailed Explanation</w:t>
        <w:br/>
        <w:br/>
        <w:t>Section 434 of the Indian Penal Code (IPC) addresses the criminal act of causing mischief by damaging, removing, or otherwise interfering with landmarks established by public authorities. These landmarks serve various essential purposes, including defining property boundaries, aiding surveying and mapping, and facilitating public works projects. The section recognizes their importance and penalizes actions that compromise their integrity and functionality.</w:t>
        <w:br/>
        <w:br/>
        <w:t>**Definition of Key Terms:**</w:t>
        <w:br/>
        <w:br/>
        <w:t>To understand Section 434 comprehensively, it's crucial to define the key terms involved:</w:t>
        <w:br/>
        <w:br/>
        <w:t>* **Mischief:** As defined in Section 425 of the IPC, mischief encompasses any intentional act, or an act performed with the knowledge that it is likely to cause wrongful loss or damage to the public or any person. Wrongful loss or damage refers to any impairment of the value, utility, or usefulness of property.</w:t>
        <w:br/>
        <w:br/>
        <w:t>* **Destroying:** This refers to the complete demolition or obliteration of a landmark, rendering it unrecognizable and unusable for its intended purpose.</w:t>
        <w:br/>
        <w:br/>
        <w:t>* **Moving:** This involves physically displacing a landmark from its designated location, thereby disrupting its function and potentially creating confusion or disputes regarding boundaries or other related matters.</w:t>
        <w:br/>
        <w:br/>
        <w:t>* **Rendering Less Useful:**  This encompasses any act that impairs the effectiveness of a landmark without necessarily destroying or moving it. This could include defacing the markings, damaging the structure, or obscuring its visibility.</w:t>
        <w:br/>
        <w:br/>
        <w:t>* **Landmark Fixed by Public Authority:** This crucial phrase specifies that the landmark in question must have been established by a government body or an entity authorized by the government.  Private markers or signs not officially recognized as landmarks by a public authority do not fall under this section.  This element underscores the public interest protected by the section.</w:t>
        <w:br/>
        <w:br/>
        <w:br/>
        <w:t>**Essential Elements of the Offence:**</w:t>
        <w:br/>
        <w:br/>
        <w:t>To establish an offence under Section 434, the prosecution must prove the following elements beyond reasonable doubt:</w:t>
        <w:br/>
        <w:br/>
        <w:t>1. **Act of Destruction, Moving, or Rendering Less Useful:** The accused must have committed a positive act that directly resulted in the destruction, moving, or impairment of the usefulness of a landmark. Mere negligence or inaction wouldn't suffice.  The act must be deliberate and causally linked to the resulting damage or interference.</w:t>
        <w:br/>
        <w:br/>
        <w:t>2. **Landmark Fixed by Public Authority:**  The object affected must be a landmark officially established by a government body or an authorized entity.  The prosecution must demonstrate the landmark's official status and its purpose, such as demarcating property lines, aiding surveying, or facilitating public works.</w:t>
        <w:br/>
        <w:br/>
        <w:t>3. **Intention or Knowledge:**  The accused must have acted with the intention to destroy, move, or render less useful the landmark, or with the knowledge that such consequences were likely. An accidental act without foreseeable consequences would not fall under this section. The prosecution needs to establish the accused's mental state at the time of the act.</w:t>
        <w:br/>
        <w:br/>
        <w:br/>
        <w:t>**Examples of Acts Covered Under Section 434:**</w:t>
        <w:br/>
        <w:br/>
        <w:t>* Deliberately demolishing a survey benchmark with heavy machinery.</w:t>
        <w:br/>
        <w:t>* Uprooting a boundary pillar demarcating government land.</w:t>
        <w:br/>
        <w:t>* Defacing or obliterating the markings on a triangulation station used for mapping.</w:t>
        <w:br/>
        <w:t>* Moving a milestone marking distances along a public road.</w:t>
        <w:br/>
        <w:t>* Damaging a leveling rod benchmark used in construction projects.</w:t>
        <w:br/>
        <w:br/>
        <w:t>**Punishment:**</w:t>
        <w:br/>
        <w:br/>
        <w:t>Section 434 prescribes punishment with imprisonment of either description for a term which may extend to one year, or with fine, or with both. "Either description" implies that the imprisonment can be rigorous (with hard labour) or simple. The quantum of punishment depends on the specific circumstances of the case, including the importance of the landmark affected, the extent of the damage, and the intent of the accused.</w:t>
        <w:br/>
        <w:br/>
        <w:t>**Difference from Other Sections:**</w:t>
        <w:br/>
        <w:br/>
        <w:t>Section 434 distinguishes itself from other sections related to mischief by focusing specifically on landmarks fixed by public authority. While Section 427 addresses general mischief causing damage, Section 434 emphasizes the public interest associated with these landmarks and the potential disruption their damage or removal can cause to land administration, surveying, and other public functions.  This specific focus justifies the distinct legal treatment and penalties.</w:t>
        <w:br/>
        <w:br/>
        <w:br/>
        <w:t>**Rationale behind Section 434:**</w:t>
        <w:br/>
        <w:br/>
        <w:t>Landmarks established by public authorities play a critical role in various aspects of land management and public administration. They provide a stable and reliable reference system for defining property boundaries, facilitating accurate surveying and mapping, and supporting public infrastructure projects.  Interfering with these landmarks can lead to disputes, inaccuracies, and delays in crucial public works, ultimately impacting public interest. Section 434 aims to protect these essential markers and deter acts that compromise their integrity.</w:t>
        <w:br/>
        <w:br/>
        <w:br/>
        <w:t>**Conclusion:**</w:t>
        <w:br/>
        <w:br/>
        <w:t>Section 434 of the IPC serves as a crucial safeguard for the integrity of landmarks established by public authorities.  By criminalizing acts of destruction, removal, or impairment, the section protects the public interest associated with these markers and ensures the smooth functioning of land administration, surveying, and public projects.  Understanding the provisions of this section is vital for law enforcement, public officials, and citizens to prevent and address such offences effectively.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