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447: Punishment for criminal trespass.</w:t>
      </w:r>
    </w:p>
    <w:p>
      <w:r>
        <w:t>## IPC Section 447: Punishment for Criminal Trespass - A Detailed Explanation</w:t>
        <w:br/>
        <w:br/>
        <w:t>Section 447 of the Indian Penal Code (IPC) prescribes the punishment for the offense of criminal trespass, as defined in Section 441.  While Section 441 outlines the elements constituting the offense, Section 447 specifies the legal consequences for those found guilty of committing criminal trespass.</w:t>
        <w:br/>
        <w:br/>
        <w:t>**The Text of Section 447:**</w:t>
        <w:br/>
        <w:br/>
        <w:t>"Whoever commits criminal trespass shall be punished with imprisonment of either description for a term which may extend to three months, or with fine which may extend to five hundred rupees, or with both."</w:t>
        <w:br/>
        <w:br/>
        <w:t>**Breaking Down the Punishment:**</w:t>
        <w:br/>
        <w:br/>
        <w:t>1. **Imprisonment of either description:** This refers to both simple imprisonment and rigorous imprisonment.  The court has the discretion to decide the type of imprisonment based on the specific facts and circumstances of the case, including the nature of the trespass, the intent of the trespasser, and the impact on the victim.</w:t>
        <w:br/>
        <w:br/>
        <w:t xml:space="preserve">    * **Simple Imprisonment:**  Involves confinement in prison without any compulsory labor.</w:t>
        <w:br/>
        <w:t xml:space="preserve">    * **Rigorous Imprisonment:** Involves confinement in prison with compulsory labor assigned to the convict.</w:t>
        <w:br/>
        <w:br/>
        <w:t>2. **Term which may extend to three months:** This indicates the maximum term of imprisonment that can be imposed for criminal trespass is three months.  The actual duration of imprisonment can be less than three months, depending on the court's discretion and the circumstances of the case.</w:t>
        <w:br/>
        <w:br/>
        <w:t>3. **Fine which may extend to five hundred rupees:**  This specifies the maximum fine that can be imposed for criminal trespass.  The court has the discretion to impose a lesser fine or no fine at all, depending on the circumstances.</w:t>
        <w:br/>
        <w:br/>
        <w:t>4. **Or with both:** The court can impose both imprisonment and a fine for criminal trespass.  This is often the case when the trespass is deemed to be more serious or when the intent behind the trespass is malicious.</w:t>
        <w:br/>
        <w:br/>
        <w:t>**Factors Influencing the Punishment:**</w:t>
        <w:br/>
        <w:br/>
        <w:t>Several factors influence the court's decision regarding the type and quantum of punishment for criminal trespass:</w:t>
        <w:br/>
        <w:br/>
        <w:t>* **Intent of the trespasser:**  Trespass with the intent to commit a more serious offense will likely result in a harsher punishment compared to trespass with the intent to merely annoy or insult.</w:t>
        <w:br/>
        <w:t>* **Nature of the property trespassed upon:** Trespassing on residential property is generally viewed more seriously than trespassing on open land.</w:t>
        <w:br/>
        <w:t>* **Impact on the victim:** The degree of inconvenience, harm, or fear caused to the person in possession of the property will be considered by the court.</w:t>
        <w:br/>
        <w:t>* **Conduct of the trespasser:**  Aggressive or threatening behavior during the trespass will likely lead to a more severe punishment.</w:t>
        <w:br/>
        <w:t>* **Previous convictions:** Repeat offenders may face harsher penalties.</w:t>
        <w:br/>
        <w:t>* **Circumstances surrounding the trespass:**  Mitigating circumstances, such as a genuine but mistaken belief about the right to enter, might influence the court to impose a lighter punishment.</w:t>
        <w:br/>
        <w:br/>
        <w:t>**Distinguishing the Punishment from Related Offenses:**</w:t>
        <w:br/>
        <w:br/>
        <w:t>It's crucial to distinguish the punishment for criminal trespass from the penalties for related offenses like house-trespass, lurking house-trespass, and house-breaking. These offenses are considered more serious and carry heavier penalties, reflecting the greater violation of privacy and security they entail.</w:t>
        <w:br/>
        <w:br/>
        <w:t>* **House-trespass (Section 448):**  Punishable with imprisonment up to one year and a fine up to one thousand rupees.</w:t>
        <w:br/>
        <w:t>* **Lurking house-trespass (Section 444):** Punishable with imprisonment up to two years and a fine, or up to ten years and a fine if committed with the intent to commit an imprisonable offense.</w:t>
        <w:br/>
        <w:t>* **House-breaking (Sections 453-461):**  Punishments vary depending on the time of the offense, type of house, and intent, ranging from imprisonment and fines to life imprisonment in certain aggravated cases.</w:t>
        <w:br/>
        <w:br/>
        <w:br/>
        <w:t>**Case Laws Relating to Punishment for Criminal Trespass:**</w:t>
        <w:br/>
        <w:br/>
        <w:t>Numerous cases have dealt with the application of Section 447. Courts have considered the specific facts and circumstances of each case to determine the appropriate punishment, emphasizing the importance of individualized sentencing based on the gravity of the offense and the culpability of the accused.</w:t>
        <w:br/>
        <w:br/>
        <w:br/>
        <w:t>**Conclusion:**</w:t>
        <w:br/>
        <w:br/>
        <w:t>Section 447 of the IPC provides for the punishment of criminal trespass.  While the maximum punishment is relatively light compared to related offenses, the court has considerable discretion in determining the type and quantum of punishment based on the specific facts and circumstances of each case.  Factors such as the intent of the trespasser, the nature of the property, and the impact on the victim play a significant role in the sentencing decision. Understanding the provisions of Section 447, along with the distinctions between criminal trespass and related offenses, is essential for comprehending the legal framework governing intrusions onto property and the corresponding penalties.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