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477: Fraudulent cancellation, destruction, etc., of will, authority to adopt, or valuable security.</w:t>
      </w:r>
    </w:p>
    <w:p>
      <w:r>
        <w:t>## IPC Section 477A: Falsification of Accounts – A Detailed Analysis</w:t>
        <w:br/>
        <w:br/>
        <w:t>Section 477A of the Indian Penal Code (IPC) addresses the specific crime of falsifying accounts. Unlike other sections related to forgery that deal with individual documents, Section 477A focuses on the manipulation of accounts, recognizing the potential for significant financial fraud and damage that can arise from such falsification.  This section targets individuals who, due to their position or access, can manipulate financial records for personal gain or to cause harm to others.</w:t>
        <w:br/>
        <w:br/>
        <w:t>**The Text of Section 477A:**</w:t>
        <w:br/>
        <w:br/>
        <w:t>"Whoever, being a clerk, officer or servant, or employed or acting in the capacity of a clerk, officer or servant, wilfully, and with intent to defraud, destroys, alters, mutilates or falsifies any book, paper, writing, valuable security or account which belongs to or is in the possession of his employer, or has been received by him for or on behalf of his employer, or wilfully, and with intent to defraud, makes or abets the making of any false entry in, or omits or alters or abets the omission or alteration of any material particular from or in, any such book, paper, writing, valuable security or account, shall be punished with imprisonment of either description for a term which may extend to seven years, or with fine, or with both."</w:t>
        <w:br/>
        <w:br/>
        <w:t>**Dissecting the Elements of the Offence:**</w:t>
        <w:br/>
        <w:br/>
        <w:t>To establish an offence under Section 477A, the prosecution must prove the following elements beyond reasonable doubt:</w:t>
        <w:br/>
        <w:br/>
        <w:t>1. **Position of Trust:** The accused must be a clerk, officer, servant, or employed or acting in the capacity of one of these, in relation to the employer whose accounts are affected.  This element establishes a relationship of trust and responsibility, highlighting the breach of that trust when the accounts are falsified.</w:t>
        <w:br/>
        <w:br/>
        <w:t>2. **Wilful Act:** The accused must have acted wilfully, meaning they must have acted consciously and deliberately, not accidentally or unintentionally. This emphasizes the intentional nature of the falsification.</w:t>
        <w:br/>
        <w:br/>
        <w:t>3. **Intent to Defraud:** The accused must have acted with the specific intent to defraud. This implies an intention to deceive someone or gain an unfair advantage through the falsification of the accounts. The intent doesn't have to be directed towards a specific individual; a general intent to deceive or gain an unfair advantage is sufficient.</w:t>
        <w:br/>
        <w:br/>
        <w:t>4. **Act of Falsification:** The accused must have committed one of the following acts concerning the accounts:</w:t>
        <w:br/>
        <w:br/>
        <w:t xml:space="preserve">    * **Destruction:**  Physically destroying the account books or records.</w:t>
        <w:br/>
        <w:t xml:space="preserve">    * **Alteration:**  Changing or modifying existing entries in the accounts.</w:t>
        <w:br/>
        <w:t xml:space="preserve">    * **Mutilation:**  Damaging or defacing the account records, potentially obscuring or altering their meaning.</w:t>
        <w:br/>
        <w:t xml:space="preserve">    * **Falsification:**  Creating false or misleading entries in the accounts.</w:t>
        <w:br/>
        <w:t xml:space="preserve">    * **Making False Entries:**  Creating entirely fabricated entries in the accounts.</w:t>
        <w:br/>
        <w:t xml:space="preserve">    * **Omission of Material Particulars:**  Deliberately leaving out essential information from the accounts.</w:t>
        <w:br/>
        <w:t xml:space="preserve">    * **Abetment:**  Aiding or instigating someone else to commit any of the above acts.</w:t>
        <w:br/>
        <w:br/>
        <w:br/>
        <w:t>5. **Subject Matter of Falsification:**  The subject of the falsification must be a "book, paper, writing, valuable security or account" that belongs to or is in the possession of the accused's employer, or has been received by the accused for or on behalf of their employer.  This covers a wide range of financial records and documents.</w:t>
        <w:br/>
        <w:br/>
        <w:br/>
        <w:t>**Punishment:**</w:t>
        <w:br/>
        <w:br/>
        <w:t>Section 477A prescribes a punishment of imprisonment of either description for a term which may extend to seven years, or with a fine, or with both. The severity of the punishment reflects the potential for significant financial harm that can arise from falsifying accounts.</w:t>
        <w:br/>
        <w:br/>
        <w:t>**Illustrative Examples:**</w:t>
        <w:br/>
        <w:br/>
        <w:t>* A company clerk creating false invoices to embezzle funds.</w:t>
        <w:br/>
        <w:t>* A bank officer manipulating account entries to cover up a fraudulent loan.</w:t>
        <w:br/>
        <w:t>* A cashier deleting transaction records to conceal theft.</w:t>
        <w:br/>
        <w:br/>
        <w:br/>
        <w:t>**Distinction from Other Sections:**</w:t>
        <w:br/>
        <w:br/>
        <w:t>Section 477A differs from other forgery-related sections by specifically targeting the falsification of accounts.  While other sections like Section 465 (forgery) or Section 467 (forgery of valuable security) deal with individual documents, Section 477A focuses on the manipulation of financial records as a whole, recognizing the broader impact of such falsification.  It also requires a specific employment relationship between the accused and the entity whose accounts are affected.</w:t>
        <w:br/>
        <w:br/>
        <w:t>**Challenges in Prosecution:**</w:t>
        <w:br/>
        <w:br/>
        <w:t>Proving the intent to defraud can be challenging.  The prosecution often relies on circumstantial evidence, including the nature and extent of the falsification, the accused's conduct, and any financial gains they might have obtained, to establish the intent. The accused might argue that the errors were unintentional or due to negligence.  Therefore, a thorough forensic accounting investigation and a meticulous presentation of evidence are crucial for successful prosecution.</w:t>
        <w:br/>
        <w:br/>
        <w:br/>
        <w:t>**Conclusion:**</w:t>
        <w:br/>
        <w:br/>
        <w:t>Section 477A of the IPC plays a vital role in maintaining the integrity of financial records and preventing fraud. By criminalizing the falsification of accounts by individuals in positions of trust, it protects businesses, organizations, and individuals from financial harm. The punishment prescribed under this section serves as a deterrent and reflects the seriousness of the offence. The effective implementation of Section 477A, in conjunction with other related provisions, strengthens the overall framework against financial fraud and contributes significantly to maintaining trust and transparency in financial dealings.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