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489: Tampering with property mark with intent to cause injury.</w:t>
      </w:r>
    </w:p>
    <w:p>
      <w:r>
        <w:t>## IPC Section 489: Tampering with Property Mark with Intent to Cause Injury – A Detailed Analysis</w:t>
        <w:br/>
        <w:br/>
        <w:t>Section 489 of the Indian Penal Code (IPC) deals with the specific offence of tampering with a property mark with the intent to cause injury.  This provision goes beyond simply counterfeiting or using a false mark. It addresses situations where an individual tampers with a genuine property mark, even without completely counterfeiting it, with the malicious intent to harm the owner of the mark or another party.  This section recognizes that even slight alterations or modifications to a genuine mark can significantly damage a brand's reputation or disrupt its business operations. By criminalizing this act, Section 489 protects the integrity of property marks and safeguards the interests of their owners.</w:t>
        <w:br/>
        <w:br/>
        <w:br/>
        <w:t>**The Text of Section 489:**</w:t>
        <w:br/>
        <w:br/>
        <w:t>"Whoever tampers with any property mark with intent to cause injury to any person, shall, unless he proves that he acted without intent to defraud, be punished with imprisonment of either description for a term which may extend to three years, and shall also be liable to fine."</w:t>
        <w:br/>
        <w:br/>
        <w:t>**Breaking Down the Elements of the Offence:**</w:t>
        <w:br/>
        <w:br/>
        <w:t>1. **Tampering with a Property Mark:** This refers to any unauthorized alteration, modification, or interference with a genuine property mark.  It doesn't necessarily involve creating a completely counterfeit mark, as covered under other sections.  Tampering can include actions such as partially erasing, obscuring, defacing, or adding to an existing mark. Even subtle changes that affect the mark's appearance or message can constitute tampering.</w:t>
        <w:br/>
        <w:br/>
        <w:t>2. **Property Mark:** As defined in related sections, a property mark is a mark used on goods to indicate their origin, manufacturer, or other characteristics. This encompasses trademarks, logos, and other distinctive identifiers.</w:t>
        <w:br/>
        <w:br/>
        <w:t>3. **Intent to Cause Injury:** A crucial element of this offence is the *intent* to cause injury to another person.  This means the tampering must be done with the specific purpose of harming someone, either financially or otherwise.  The injury could be to the owner of the property mark, a competitor, or any other party affected by the tampering. This intent differentiates accidental or unintentional damage to a mark from the deliberate and malicious act covered under this section. The intended injury could include:</w:t>
        <w:br/>
        <w:br/>
        <w:t xml:space="preserve">    * **Financial Loss:** Damaging the brand's reputation, reducing sales, or disrupting business operations.</w:t>
        <w:br/>
        <w:t xml:space="preserve">    * **Reputational Damage:**  Creating negative publicity or associating the brand with undesirable qualities.</w:t>
        <w:br/>
        <w:t xml:space="preserve">    * **Loss of Market Share:**  Diverting customers towards counterfeit or competing products.</w:t>
        <w:br/>
        <w:t xml:space="preserve">    * **Legal and Regulatory Problems:**  Causing the brand to face legal challenges or regulatory scrutiny.</w:t>
        <w:br/>
        <w:br/>
        <w:br/>
        <w:t>4. **Burden of Proof and Defence:** While the prosecution bears the initial burden of proving the act of tampering and the intent to cause injury, the accused has a limited defence.  They can attempt to prove they acted without the intent to defraud.  This requires demonstrating that the tampering was not done with any deceptive or dishonest purpose but for some other legitimate reason.  This defence is challenging to establish, especially given the requirement of proving intent to cause injury.</w:t>
        <w:br/>
        <w:br/>
        <w:t>5. **Punishment:**  Section 489 prescribes a punishment of imprisonment of either description (rigorous or simple) for a term which may extend to three years, and a fine.  The relatively high penalty underscores the seriousness of this offence and its potential to cause significant harm.</w:t>
        <w:br/>
        <w:br/>
        <w:br/>
        <w:t>**Key Considerations:**</w:t>
        <w:br/>
        <w:br/>
        <w:t>* **Focus on Malicious Intent:** Section 489 focuses on the malicious intent behind the tampering, distinguishing it from accidental damage or unintentional alterations.</w:t>
        <w:br/>
        <w:t>* **Broad Interpretation of "Injury":**  The term "injury" is interpreted broadly to encompass various forms of harm, including financial loss, reputational damage, and disruption of business operations.</w:t>
        <w:br/>
        <w:t>* **Difficulty in Establishing Defence:**  Proving the absence of intent to defraud is a challenging defence, given the requirement of demonstrating intent to cause injury.</w:t>
        <w:br/>
        <w:br/>
        <w:br/>
        <w:t>**Conclusion:**</w:t>
        <w:br/>
        <w:br/>
        <w:t>Section 489 of the IPC provides important protection for property marks by criminalizing the act of tampering with them with the intent to cause injury. This provision goes beyond simply addressing counterfeiting, targeting the malicious alteration of genuine marks.  By focusing on the intent behind the tampering, it ensures that individuals who deliberately seek to harm others through such actions face appropriate legal consequences. The relatively high penalty acts as a deterrent and emphasizes the seriousness of this offence. This provision strengthens intellectual property protection and helps maintain a fair and competitive marketplace by preventing malicious interference with established brands and trademarks.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