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494: Marrying again during life-time of husband or wife.</w:t>
      </w:r>
    </w:p>
    <w:p>
      <w:r>
        <w:t>## IPC Section 494: Marrying Again During Lifetime of Husband or Wife – A Detailed Explanation</w:t>
        <w:br/>
        <w:br/>
        <w:t>Section 494 of the Indian Penal Code (IPC) deals with the offence of bigamy, which is the act of marrying again during the lifetime of one's husband or wife. This section upholds the monogamous nature of marriage under most personal laws in India and criminalizes the act of entering into a second marriage while the first marriage is still legally subsisting.  This detailed explanation will delve into the various aspects of Section 494, covering its definition, essential ingredients, exceptions, punishment, evidentiary requirements, related sections, and relevant case laws.</w:t>
        <w:br/>
        <w:br/>
        <w:br/>
        <w:t>**Definition:**</w:t>
        <w:br/>
        <w:br/>
        <w:t>Section 494 of the IPC states: "Whoever, having a husband or wife living, marries in any case in which such marriage is void by reason of its taking place during the life of such husband or wife, shall be punished with imprisonment of either description for a term which may extend to seven years, and shall also be liable to fine."</w:t>
        <w:br/>
        <w:br/>
        <w:br/>
        <w:t>**Essential Ingredients:**</w:t>
        <w:br/>
        <w:br/>
        <w:t>To establish an offence under Section 494, the prosecution must prove the following essential ingredients beyond reasonable doubt:</w:t>
        <w:br/>
        <w:br/>
        <w:t>1. **Subsisting Marriage:** The accused must have a husband or wife living at the time of the second marriage.  The first marriage must be legally valid and subsisting at the time of the second marriage.  A marriage that is void ab initio (from the beginning) or has been legally dissolved through a decree of divorce or nullity does not satisfy this requirement.</w:t>
        <w:br/>
        <w:br/>
        <w:t>2. **Second Marriage:** The accused must have entered into a second marriage. This second marriage must be one that is recognized as a valid form of marriage under the applicable personal laws.  A mere live-in relationship or a ceremony not recognized as a valid marriage does not constitute an offence under this section.</w:t>
        <w:br/>
        <w:br/>
        <w:t>3. **Void Marriage:** The second marriage must be void *by reason* of its taking place during the lifetime of the husband or wife from the first marriage.  The second marriage is automatically void because the first marriage is still subsisting.  This distinguishes Section 494 from situations where a second marriage is void for other reasons, like prohibited degrees of relationship or lack of proper ceremonies.</w:t>
        <w:br/>
        <w:br/>
        <w:t>**Exceptions:**</w:t>
        <w:br/>
        <w:br/>
        <w:t>Section 494 contains an exception that states it does not apply to any person whose marriage with such husband or wife has been declared void by a Court of competent jurisdiction. This exception clarifies that if the first marriage has been legally declared void by a court, then the accused is not liable under this section for subsequently marrying another person.</w:t>
        <w:br/>
        <w:br/>
        <w:br/>
        <w:t>**Punishment:**</w:t>
        <w:br/>
        <w:br/>
        <w:t>Section 494 prescribes a punishment of imprisonment of either description (rigorous or simple) for a term which may extend to seven years, and also a fine.  The punishment reflects the seriousness with which the law views the offence of bigamy.</w:t>
        <w:br/>
        <w:br/>
        <w:br/>
        <w:t>**Evidentiary Requirements:**</w:t>
        <w:br/>
        <w:br/>
        <w:t>The prosecution must present sufficient evidence to prove each essential ingredient beyond reasonable doubt. This typically includes:</w:t>
        <w:br/>
        <w:br/>
        <w:t>* **Proof of the first marriage:** Documentary evidence like marriage certificates, registration records, or witness testimonies from those present at the first marriage ceremony.</w:t>
        <w:br/>
        <w:t>* **Proof that the first marriage is subsisting:** Evidence demonstrating that the first marriage has not been legally dissolved through divorce or nullity.</w:t>
        <w:br/>
        <w:t>* **Proof of the second marriage:** Documentary evidence like marriage certificates, registration records, or witness testimonies from those present at the second marriage ceremony.</w:t>
        <w:br/>
        <w:t>* **Evidence that the accused had knowledge of the subsistence of the first marriage:** While not explicitly stated in the section, the courts generally require proof that the accused was aware that their first marriage was still valid at the time of the second marriage.</w:t>
        <w:br/>
        <w:br/>
        <w:br/>
        <w:t>**Related Sections:**</w:t>
        <w:br/>
        <w:br/>
        <w:t>Section 494 is related to other provisions in the IPC dealing with offences against marriage, such as:</w:t>
        <w:br/>
        <w:br/>
        <w:t>* **Section 495:** Same offence with concealment of former marriage from person with whom subsequent marriage is contracted.</w:t>
        <w:br/>
        <w:t>* **Section 496:** Marriage ceremony fraudulently gone through without lawful marriage.</w:t>
        <w:br/>
        <w:t>* **Section 497:** Adultery (now decriminalized).</w:t>
        <w:br/>
        <w:br/>
        <w:br/>
        <w:t>**Important Case Laws:**</w:t>
        <w:br/>
        <w:br/>
        <w:t>Several judicial pronouncements have shaped the understanding and application of Section 494.  Some key aspects highlighted in case laws include:</w:t>
        <w:br/>
        <w:br/>
        <w:t>* **Proof of valid first marriage:** The prosecution must rigorously prove the validity of the first marriage.</w:t>
        <w:br/>
        <w:t>* **Applicability of personal laws:** The validity of both the first and second marriages is determined by the applicable personal laws of the parties involved.</w:t>
        <w:br/>
        <w:t>* **Criminal intent:** While not an explicit ingredient, some courts have considered the accused's knowledge and intent in entering into the second marriage.</w:t>
        <w:br/>
        <w:t>* **Section 494 is not gender-neutral:**  While the section uses the term “whoever,” it has traditionally been interpreted and applied mostly against men.  The constitutionality of this aspect has been challenged in various courts.</w:t>
        <w:br/>
        <w:br/>
        <w:br/>
        <w:br/>
        <w:t>**Conclusion:**</w:t>
        <w:br/>
        <w:br/>
        <w:t>Section 494 of the IPC is a significant provision that upholds the principle of monogamy by criminalizing the act of bigamy.  The section requires the prosecution to establish the existence of a valid and subsisting first marriage, the subsequent entry into a second marriage, and that the second marriage is void due to the subsistence of the first marriage.  The punishment for this offence is substantial, reflecting the societal disapproval of bigamy.  The judicial interpretations of this section have contributed to a nuanced understanding of its application, with ongoing debates regarding its gender neutrality and the relevance of criminal intent.</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