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501: Printing or engraving matter known to be defamatory.</w:t>
      </w:r>
    </w:p>
    <w:p>
      <w:r>
        <w:t>## IPC Section 501: Printing or Engraving Matter Known to be Defamatory</w:t>
        <w:br/>
        <w:br/>
        <w:t>Section 501 of the Indian Penal Code (IPC) deals with the specific act of printing or engraving matter known to be defamatory.  It complements Section 499, which defines defamation, and Section 500, which prescribes the punishment for defamation.  Section 501 targets those involved in the production and dissemination of defamatory material, recognizing the potential for wider harm caused by printed or engraved publications.</w:t>
        <w:br/>
        <w:br/>
        <w:t>**The Provision:**</w:t>
        <w:br/>
        <w:br/>
        <w:t>Section 501 states: "Whoever prints or engraves any matter, knowing or having good reason to believe that such matter is defamatory of any person, shall be punished with simple imprisonment for a term which may extend to two years, or with fine, or with both."</w:t>
        <w:br/>
        <w:br/>
        <w:t>**Breaking Down the Elements:**</w:t>
        <w:br/>
        <w:br/>
        <w:t>1. **Printing or Engraving:**  This section specifically targets the acts of printing or engraving.  "Printing" encompasses various methods of reproducing text or images on a surface, including traditional printing press methods, digital printing, and photocopying. "Engraving" refers to the process of carving, etching, or incising designs or text onto a hard surface, such as metal or wood.  This implies a degree of permanence and potential for wider circulation compared to spoken words or handwritten notes.</w:t>
        <w:br/>
        <w:br/>
        <w:t>2. **Matter:** "Matter" refers to the content being printed or engraved. This can include text, images, symbols, or any other form of communication capable of conveying meaning and harming a person's reputation.</w:t>
        <w:br/>
        <w:br/>
        <w:t>3. **Knowing or Having Good Reason to Believe:** This crucial element establishes the *mens rea* (guilty mind) required for the offence. The prosecution must prove that the person printing or engraving the matter either knew that it was defamatory or had good reason to believe that it was. This implies a subjective test, focusing on the individual's state of mind.  Mere negligence or inadvertence is not sufficient.  There must be some awareness, based on reasonable grounds, of the defamatory nature of the material.  "Good reason to believe" implies a standard slightly lower than actual knowledge, but still requires more than mere suspicion. The individual should have sufficient grounds to suspect the defamatory nature of the content and should have taken reasonable steps to verify its truthfulness or falsity before printing or engraving it.</w:t>
        <w:br/>
        <w:br/>
        <w:t>4. **Defamatory of Any Person:** The matter printed or engraved must be defamatory, as defined in Section 499 of the IPC.  It must harm the reputation of a living person by lowering their moral or intellectual character, or exposing them to hatred, contempt, or ridicule.</w:t>
        <w:br/>
        <w:br/>
        <w:t>**Punishment:**</w:t>
        <w:br/>
        <w:br/>
        <w:t>The punishment for this offence, as specified in the section, is identical to the punishment for defamation under Section 500: simple imprisonment for a term which may extend to two years, or with fine, or with both. The court has the discretion to choose the appropriate punishment, considering the specifics of the case, such as the severity of the defamation, the extent of publication, and the intent of the accused.</w:t>
        <w:br/>
        <w:br/>
        <w:t>**Nature of the Offence:**</w:t>
        <w:br/>
        <w:br/>
        <w:t>The offence under Section 501 is bailable, non-cognizable, and compoundable, similar to defamation under Section 500.</w:t>
        <w:br/>
        <w:br/>
        <w:t>**Distinction from Section 500:**</w:t>
        <w:br/>
        <w:br/>
        <w:t>While both Section 500 and Section 501 deal with defamation, they target different aspects. Section 500 focuses on the act of defamation itself, irrespective of the medium used. Section 501, on the other hand, specifically targets the act of printing or engraving defamatory matter.  It focuses on the role of those involved in producing and disseminating such material, recognizing the increased potential for harm caused by printed or engraved publications.  A person can be prosecuted under both sections if they are both the author and the printer/engraver of the defamatory material.</w:t>
        <w:br/>
        <w:br/>
        <w:t>**Purpose of the Section:**</w:t>
        <w:br/>
        <w:br/>
        <w:t>Section 501 serves a distinct purpose:</w:t>
        <w:br/>
        <w:br/>
        <w:t>* **Deterring Publication of Defamatory Material:** By specifically targeting printing and engraving, the section aims to prevent the wider dissemination of defamatory content.  These methods of publication have the potential to reach a larger audience and cause more significant damage to reputation.</w:t>
        <w:br/>
        <w:t>* **Holding Printers and Engravers Accountable:** The section emphasizes the responsibility of printers and engravers to ensure that they are not contributing to the spread of defamatory material. It discourages them from blindly printing or engraving any content without considering its potential impact on others' reputations.</w:t>
        <w:br/>
        <w:br/>
        <w:t>**Defenses:**</w:t>
        <w:br/>
        <w:br/>
        <w:t>Similar to defamation under Section 499, various defenses can be raised against a charge under Section 501.  The accused can argue that the printed or engraved matter was not defamatory, that they did not know or have good reason to believe that it was defamatory, or that one of the exceptions to defamation under Section 499 applies.</w:t>
        <w:br/>
        <w:br/>
        <w:t>**Conclusion:**</w:t>
        <w:br/>
        <w:br/>
        <w:t>Section 501 of the IPC plays a crucial role in addressing the issue of defamation in printed and engraved form.  It complements Section 499 and Section 500 by targeting those involved in producing and disseminating such material. The requirement of "knowing or having good reason to believe" ensures that only those who are aware of the defamatory nature of the content are held accountable. Understanding Section 501 is essential for anyone involved in the printing and engraving industry, as well as for individuals seeking to protect their reputation from defamatory publications.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