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502: Sale of printed or engraved substance containing defamatory matter.</w:t>
      </w:r>
    </w:p>
    <w:p>
      <w:r>
        <w:t>## IPC Section 502: Sale of Printed or Engraved Substance Containing Defamatory Matter - A Detailed Explanation</w:t>
        <w:br/>
        <w:br/>
        <w:t>Section 502 of the Indian Penal Code (IPC) deals with the sale of printed or engraved material containing defamatory content.  It criminalizes the act of selling, offering for sale, or knowingly having possession of such material for sale or circulation, with the intention of harming the reputation of another person. This section complements Section 499 (Defamation), focusing specifically on the commercial aspect of disseminating defamatory content through printed or engraved means.</w:t>
        <w:br/>
        <w:br/>
        <w:t>**The Text of Section 502:**</w:t>
        <w:br/>
        <w:br/>
        <w:t>"Whoever sells or offers for sale any printed or engraved substance containing defamatory matter, knowing that it contains such matter, shall be punished with imprisonment of either description for a term which may extend to two years, or with fine, or with both."</w:t>
        <w:br/>
        <w:br/>
        <w:br/>
        <w:t>**Key Elements of Section 502:**</w:t>
        <w:br/>
        <w:br/>
        <w:t>1. **Sale or Offer for Sale:** This element requires an actual sale transaction or an offer to conduct a sale. Mere possession without the intent to sell does not constitute an offense under this section.  The act of "offering for sale" suggests an active attempt to find a buyer for the defamatory material. This can include displaying the material, advertising it, or soliciting potential buyers.</w:t>
        <w:br/>
        <w:br/>
        <w:t>2. **Printed or Engraved Substance:** The defamatory matter must be present on a printed or engraved substance. This includes books, pamphlets, newspapers, magazines, posters, engravings, lithographs, and other similar forms of printed or engraved media.  Modern interpretations have extended this to encompass electronically generated and printed documents, although some legal debate persists regarding online dissemination.  The crucial element is that the defamatory material is fixed in a tangible medium, distinguishable from purely oral defamation.</w:t>
        <w:br/>
        <w:br/>
        <w:t>3. **Containing Defamatory Matter:** The substance sold or offered for sale must contain matter that is defamatory within the meaning of Section 499 of the IPC. This means the matter must harm the reputation of another person by lowering him/her in the estimation of right-thinking members of society or causing him/her to be shunned or avoided. The defamatory nature of the content is crucial; selling printed material containing true but unpleasant information does not fall under this section unless it fulfills the requirements of Section 499.</w:t>
        <w:br/>
        <w:br/>
        <w:t>4. **Knowledge:** The accused must have knowledge that the printed or engraved substance contains defamatory matter. This implies a conscious awareness of the defamatory content.  Innocent dissemination, where the seller is genuinely unaware of the defamatory nature of the material, would not constitute an offense. This knowledge element safeguards against unintentional breaches and emphasizes the element of intent in criminalizing the act.  The prosecution must prove beyond reasonable doubt that the accused possessed this knowledge.</w:t>
        <w:br/>
        <w:br/>
        <w:t>5. **Intention (implied):** While not explicitly stated, an underlying intention to harm the reputation of the person defamed is implied.  The act of selling or offering to sell, coupled with the knowledge of the defamatory content, strongly suggests an intention to circulate the material and thereby cause reputational damage.</w:t>
        <w:br/>
        <w:br/>
        <w:t>**Punishment:**</w:t>
        <w:br/>
        <w:br/>
        <w:t>The punishment for the offense under Section 502 is imprisonment for a term which may extend to two years, or with fine, or with both. This relatively lesser punishment compared to Section 499 (which can extend to two years imprisonment) acknowledges that the act of selling defamatory material, while culpable, might be less directly harmful than the original act of defamation itself.</w:t>
        <w:br/>
        <w:br/>
        <w:br/>
        <w:t>**Exceptions and Defenses:**</w:t>
        <w:br/>
        <w:br/>
        <w:t>Several defenses can be raised against charges under Section 502. These defenses mirror those available under Section 499 and relate to the exceptions to defamation:</w:t>
        <w:br/>
        <w:br/>
        <w:t>* **Truth for public good:** If the defamatory statement is true and its publication is for the public good, it may not be considered an offense.</w:t>
        <w:br/>
        <w:t>* **Fair comment:**  Expressions of opinion, even if critical, made in good faith on matters of public interest, are protected.</w:t>
        <w:br/>
        <w:t>* **Privileged communication:** Certain communications, such as those made in judicial proceedings or parliamentary debates, are privileged and cannot form the basis of a defamation claim.</w:t>
        <w:br/>
        <w:t>* **Lack of knowledge:** The accused can argue they were genuinely unaware of the defamatory content of the material they sold. This requires demonstrable evidence of their lack of awareness.</w:t>
        <w:br/>
        <w:br/>
        <w:br/>
        <w:br/>
        <w:t>**Relationship with Section 499:**</w:t>
        <w:br/>
        <w:br/>
        <w:t>Section 502 is ancillary to Section 499. While Section 499 defines and penalizes defamation itself, Section 502 targets the specific act of selling or offering for sale already existing defamatory material.  A person can be prosecuted under both sections if they authored the defamatory material and subsequently sold it.  However, a bookseller who innocently sells a defamatory book without knowledge of its content would likely be prosecuted under Section 502 alone.</w:t>
        <w:br/>
        <w:br/>
        <w:br/>
        <w:t>**Importance of Section 502:**</w:t>
        <w:br/>
        <w:br/>
        <w:t>Section 502 plays a crucial role in curbing the spread of defamatory content through commercial channels. It recognizes the potential for wider dissemination and consequent harm when defamatory material is actively sold or marketed. This section acts as a deterrent against profiteering from the reputational damage of others and provides a legal recourse for those whose reputations are harmed through the sale of defamatory publications.</w:t>
        <w:br/>
        <w:br/>
        <w:br/>
        <w:t>**Conclusion:**</w:t>
        <w:br/>
        <w:br/>
        <w:t>Section 502 of the IPC serves as a critical provision in safeguarding reputations by targeting the commercial dissemination of defamatory material.  It complements Section 499 by addressing the specific act of selling or offering for sale printed or engraved substances containing defamatory content, emphasizing the element of knowledge and intent while providing for appropriate punishments and recognizing valid defenses. The section aims to strike a balance between protecting reputation and upholding the principles of free speech, holding accountable those who actively profit from the spread of harmful falsehoods.</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