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506: If threat be to cause death or grievous hurt, etc.</w:t>
      </w:r>
    </w:p>
    <w:p>
      <w:r>
        <w:t>You're referencing the latter part of Section 506, which deals with the *enhanced punishment* for specific kinds of criminal intimidation.  It's not a separate section but a continuation of Section 506, specifying aggravated instances.</w:t>
        <w:br/>
        <w:br/>
        <w:t>## IPC Section 506 - Enhanced Punishment for Specific Threats of Criminal Intimidation: A Detailed Explanation</w:t>
        <w:br/>
        <w:br/>
        <w:t>The latter portion of Section 506 of the Indian Penal Code (IPC) deals specifically with aggravated forms of criminal intimidation, where the threat involves particularly serious consequences. This part of the section enhances the punishment for such threats, reflecting the heightened risk and potential harm associated with them.</w:t>
        <w:br/>
        <w:br/>
        <w:t>**The Text of the Relevant Portion of Section 506:**</w:t>
        <w:br/>
        <w:br/>
        <w:t>"If threat be to cause death or grievous hurt, etc.—And if the threat be to cause death or grievous hurt, or to cause the destruction of any property by fire, or to cause an offence punishable with death or imprisonment for life, or with imprisonment for a term which may extend to seven years, or to impute, unchastity to a woman, shall be punished with imprisonment of either description for a term which may extend to seven years, or with fine, or with both."</w:t>
        <w:br/>
        <w:br/>
        <w:br/>
        <w:t>**Key Elements Triggering Enhanced Punishment:**</w:t>
        <w:br/>
        <w:br/>
        <w:t>The enhanced punishment under this part of Section 506 is triggered when the threat involved in the criminal intimidation falls under any of the following categories:</w:t>
        <w:br/>
        <w:br/>
        <w:t>1. **Threat to Cause Death:** This encompasses any threat that explicitly or implicitly expresses the intention to kill the victim or anyone in whom they have an interest. The threat doesn't need to be detailed or specific; even a general threat to end someone's life falls under this category.</w:t>
        <w:br/>
        <w:br/>
        <w:t>2. **Threat to Cause Grievous Hurt:** This refers to threats to inflict serious physical injuries as defined under Section 320 of the IPC.  Grievous hurt includes injuries like emasculation, permanent privation of sight or hearing, permanent disfiguration of the head or face, fracture or dislocation of bones, or any hurt that endangers life or causes severe bodily pain for twenty days or more.</w:t>
        <w:br/>
        <w:br/>
        <w:t>3. **Threat to Destroy Property by Fire:** This specific provision targets threats of arson, recognizing the significant potential for destruction and danger to life and property associated with setting fire to buildings or other property.  The threat must specifically involve fire as the means of destruction.</w:t>
        <w:br/>
        <w:br/>
        <w:t>4. **Threat to Cause an Offense Punishable with Death, Life Imprisonment, or Imprisonment up to Seven Years:** This broad category covers threats to compel someone to commit a wide range of serious offenses. The severity of the threatened offense triggers the enhanced punishment, reflecting the seriousness of using threats to coerce someone into criminal activity.  The threatened offense doesn't need to be successfully carried out; the mere threat suffices.</w:t>
        <w:br/>
        <w:br/>
        <w:t>5. **Threat to Impute Unchastity to a Woman:** This specific provision addresses the significant social stigma and reputational damage faced by women in Indian society due to accusations of unchastity. This clause recognizes the particular vulnerability of women to such threats and provides enhanced protection against them.  The threat must be specifically related to imputing unchastity, not just general insults or defamation.</w:t>
        <w:br/>
        <w:br/>
        <w:br/>
        <w:t>**Punishment:**</w:t>
        <w:br/>
        <w:br/>
        <w:t>The enhanced punishment under this part of Section 506 is imprisonment of either description for a term which may extend to seven years, or with fine, or with both. This is significantly higher than the maximum two-year imprisonment for simple criminal intimidation, reflecting the greater severity of these specific threats.</w:t>
        <w:br/>
        <w:br/>
        <w:br/>
        <w:t>**Application and Interpretation:**</w:t>
        <w:br/>
        <w:br/>
        <w:t>The application of this enhanced punishment requires careful consideration of the specific words used in the threat and the context in which it was made.  The prosecution must prove beyond a reasonable doubt that the threat falls under one of the specified categories.  The courts interpret these categories broadly to ensure adequate protection against serious threats.</w:t>
        <w:br/>
        <w:br/>
        <w:br/>
        <w:t>**Importance of Enhanced Punishment:**</w:t>
        <w:br/>
        <w:br/>
        <w:t>The enhanced punishment for these specific threats serves several crucial purposes:</w:t>
        <w:br/>
        <w:br/>
        <w:t>* **Deterrence:** The higher penalty acts as a stronger deterrent against making such serious threats.</w:t>
        <w:br/>
        <w:t>* **Protection of Vulnerable Individuals:** It provides enhanced protection for potential victims, particularly women who face unique vulnerabilities due to societal norms and stigma.</w:t>
        <w:br/>
        <w:t>* **Recognition of Gravity:**  The increased punishment reflects the gravity of threats to life, limb, and reputation, and the potential for significant harm associated with arson and coercion into serious criminal activity.</w:t>
        <w:br/>
        <w:t>* **Proportionality:** It ensures that the punishment is proportionate to the seriousness of the offense, reflecting the heightened risk and potential consequences of these specific threats.</w:t>
        <w:br/>
        <w:br/>
        <w:br/>
        <w:br/>
        <w:t>**Conclusion:**</w:t>
        <w:br/>
        <w:br/>
        <w:t>The enhanced punishment provision within Section 506 of the IPC plays a vital role in safeguarding individuals from particularly serious forms of criminal intimidation. By targeting threats to life, grievous bodily harm, property destruction by fire, coercion into serious crimes, and imputation of unchastity to women, it provides targeted protection against the most harmful forms of threats.  This provision underscores the commitment of the law to protecting individual safety, security, and dignity, and to deterring the use of threats as a means of coercion and control.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