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506: Punishment for criminal intimidation.</w:t>
      </w:r>
    </w:p>
    <w:p>
      <w:r>
        <w:t>## IPC Section 506: Punishment for Criminal Intimidation - A Detailed Explanation</w:t>
        <w:br/>
        <w:br/>
        <w:t>Section 506 of the Indian Penal Code (IPC) prescribes the punishment for the offense of criminal intimidation, as defined under Section 503. It outlines a tiered punishment structure based on the nature and gravity of the threat involved.  This section emphasizes the seriousness of employing threats to coerce or instill fear, recognizing the impact such behavior can have on individual liberty and security.</w:t>
        <w:br/>
        <w:br/>
        <w:t>**The Text of Section 506:**</w:t>
        <w:br/>
        <w:br/>
        <w:t>"Punishment for criminal intimidation.—Whoever commits the offence of criminal intimidation shall be punished with imprisonment of either description for a term which may extend to two years, or with fine, or with both;</w:t>
        <w:br/>
        <w:br/>
        <w:t>If threat be to cause death or grievous hurt, etc.—And if the threat be to cause death or grievous hurt, or to cause the destruction of any property by fire, or to cause an offence punishable with death or  imprisonment for life, or with imprisonment for a term which may extend to seven years, or to impute, unchastity to a woman, shall be punished with imprisonment of either description for a term which may extend to seven years, or with fine, or with both."</w:t>
        <w:br/>
        <w:br/>
        <w:br/>
        <w:br/>
        <w:t>**Key Elements of Section 506:**</w:t>
        <w:br/>
        <w:br/>
        <w:t>1. **Commission of Criminal Intimidation:**  Section 506 applies only when the offense of criminal intimidation, as defined under Section 503, has been committed. This requires fulfilling the elements of Section 503, which include:</w:t>
        <w:br/>
        <w:br/>
        <w:t xml:space="preserve">    * A threat to injure the person, reputation, or property of the victim or someone they are interested in.</w:t>
        <w:br/>
        <w:t xml:space="preserve">    * The intent to cause alarm to the victim.</w:t>
        <w:br/>
        <w:t xml:space="preserve">    * The intent to coerce the victim into doing something they are not legally bound to do or omitting to do something they are legally entitled to do.</w:t>
        <w:br/>
        <w:br/>
        <w:br/>
        <w:t>2. **Nature of the Threat:** The punishment under Section 506 is determined by the nature and gravity of the threat uttered.  It distinguishes between simple criminal intimidation and aggravated forms involving more serious threats.</w:t>
        <w:br/>
        <w:br/>
        <w:br/>
        <w:t>**Punishment Structure:**</w:t>
        <w:br/>
        <w:br/>
        <w:t>Section 506 establishes a two-tiered punishment structure:</w:t>
        <w:br/>
        <w:br/>
        <w:t>* **Simple Criminal Intimidation:** If the threat does not fall under the aggravated categories listed below, the punishment is imprisonment of either description for a term which may extend to two years, or with fine, or with both.  This covers threats of minor injuries, damage to property below a certain threshold, or threats to reputation that do not involve imputing unchastity to a woman.</w:t>
        <w:br/>
        <w:br/>
        <w:t>* **Aggravated Criminal Intimidation:** If the threat falls under any of the following categories, the punishment is enhanced to imprisonment of either description for a term which may extend to seven years, or with fine, or with both:</w:t>
        <w:br/>
        <w:br/>
        <w:t xml:space="preserve">    * **Threat to cause death:**  This includes any threat to take the life of the victim or someone they are interested in.</w:t>
        <w:br/>
        <w:t xml:space="preserve">    * **Threat to cause grievous hurt:** This refers to threats to inflict serious physical injuries as defined under Section 320 of the IPC.</w:t>
        <w:br/>
        <w:t xml:space="preserve">    * **Threat to destroy property by fire:**  This specific threat recognizes the potential for widespread damage and danger associated with arson.</w:t>
        <w:br/>
        <w:t xml:space="preserve">    * **Threat to cause an offense punishable with death, life imprisonment, or imprisonment up to seven years:**  This covers a wide range of serious offenses and reflects the gravity of using threats to coerce someone into committing such crimes.</w:t>
        <w:br/>
        <w:t xml:space="preserve">    * **Threat to impute unchastity to a woman:**  This specific provision acknowledges the severe social stigma and reputational damage associated with accusations of unchastity against women in Indian society.</w:t>
        <w:br/>
        <w:br/>
        <w:br/>
        <w:br/>
        <w:t>**Application of the Section:**</w:t>
        <w:br/>
        <w:br/>
        <w:t>The appropriate punishment under Section 506 is determined based on the specific nature of the threat uttered. The prosecution must prove beyond reasonable doubt that the accused made the specific threat and that it falls under the relevant category of simple or aggravated criminal intimidation.  The judge has discretion within the prescribed punishment range to determine the appropriate sentence based on the facts and circumstances of each case.</w:t>
        <w:br/>
        <w:br/>
        <w:br/>
        <w:t>**Importance of Section 506:**</w:t>
        <w:br/>
        <w:br/>
        <w:t>Section 506 plays a crucial role in deterring the use of threats as a means of coercion and control. It provides a clear and graded framework for punishing those who employ threats to instill fear, violate individual liberty, or incite criminal activity. The enhanced punishment for aggravated forms of criminal intimidation reflects the seriousness with which the law views threats to life, limb, property, and reputation, particularly those targeting vulnerable individuals.</w:t>
        <w:br/>
        <w:br/>
        <w:br/>
        <w:t>**Relationship with Section 503:**</w:t>
        <w:br/>
        <w:br/>
        <w:t>Section 506 is intrinsically linked to Section 503. It serves as the penal provision for the offense defined under Section 503.  Without a finding of criminal intimidation under Section 503, Section 506 cannot be invoked.</w:t>
        <w:br/>
        <w:br/>
        <w:br/>
        <w:t>**Conclusion:**</w:t>
        <w:br/>
        <w:br/>
        <w:t>Section 506 of the IPC provides a comprehensive framework for punishing the offense of criminal intimidation. By establishing a tiered punishment structure based on the nature of the threat, it ensures that the punishment fits the crime. This section plays a vital role in protecting individuals from coercion and fear, promoting a society where individuals can exercise their rights and freedoms without being subjected to threats of violence or other forms of harm.  The law recognizes the damaging impact of threats on individual well-being and social order and provides a robust mechanism for holding those who engage in such behavior accountable.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