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Diagnosing and Fixing Funnel Drop-off</w:t>
      </w:r>
    </w:p>
    <w:p>
      <w:pPr>
        <w:spacing w:after="60"/>
      </w:pPr>
      <w:r>
        <w:rPr>
          <w:rFonts w:ascii="Calibri" w:cs="Calibri" w:eastAsia="Calibri" w:hAnsi="Calibri"/>
          <w:color w:val="44546A"/>
          <w:sz w:val="24"/>
          <w:szCs w:val="24"/>
        </w:rPr>
        <w:t xml:space="preserve">A Growth Case Study — E-commerce conversion funnel, RetailRocket clickstream</w:t>
      </w:r>
    </w:p>
    <w:p>
      <w:pPr>
        <w:pBdr>
          <w:bottom w:val="single" w:color="1F3864" w:sz="12"/>
        </w:pBdr>
        <w:spacing w:after="200"/>
      </w:pPr>
      <w:r>
        <w:rPr>
          <w:rFonts w:ascii="Calibri" w:cs="Calibri" w:eastAsia="Calibri" w:hAnsi="Calibri"/>
          <w:b/>
          <w:bCs/>
          <w:color w:val="44546A"/>
          <w:sz w:val="21"/>
          <w:szCs w:val="21"/>
        </w:rPr>
        <w:t xml:space="preserve">Ayush Gupta</w:t>
      </w:r>
    </w:p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color w:val="44546A"/>
          <w:sz w:val="21"/>
          <w:szCs w:val="21"/>
        </w:rPr>
        <w:t xml:space="preserve">Companion to my Product Analytics Dashboard: the dashboard </w:t>
      </w:r>
      <w:r>
        <w:rPr>
          <w:rFonts w:ascii="Calibri" w:cs="Calibri" w:eastAsia="Calibri" w:hAnsi="Calibri"/>
          <w:i/>
          <w:iCs/>
          <w:color w:val="44546A"/>
          <w:sz w:val="21"/>
          <w:szCs w:val="21"/>
        </w:rPr>
        <w:t xml:space="preserve">surfaces</w:t>
      </w:r>
      <w:r>
        <w:rPr>
          <w:rFonts w:ascii="Calibri" w:cs="Calibri" w:eastAsia="Calibri" w:hAnsi="Calibri"/>
          <w:color w:val="44546A"/>
          <w:sz w:val="21"/>
          <w:szCs w:val="21"/>
        </w:rPr>
        <w:t xml:space="preserve"> the funnel drop-off, this document </w:t>
      </w:r>
      <w:r>
        <w:rPr>
          <w:rFonts w:ascii="Calibri" w:cs="Calibri" w:eastAsia="Calibri" w:hAnsi="Calibri"/>
          <w:i/>
          <w:iCs/>
          <w:color w:val="44546A"/>
          <w:sz w:val="21"/>
          <w:szCs w:val="21"/>
        </w:rPr>
        <w:t xml:space="preserve">diagnoses it and designs the experiments to fix it</w:t>
      </w:r>
      <w:r>
        <w:rPr>
          <w:rFonts w:ascii="Calibri" w:cs="Calibri" w:eastAsia="Calibri" w:hAnsi="Calibri"/>
          <w:color w:val="44546A"/>
          <w:sz w:val="21"/>
          <w:szCs w:val="21"/>
        </w:rPr>
        <w:t xml:space="preserve">. Every figure here is computed from the real RetailRocket clickstream — 2,755,641 events over 137 days — by a reproducible analysis script. None are illustrative.</w:t>
      </w:r>
    </w:p>
    <w:p>
      <w:pPr>
        <w:pBdr>
          <w:bottom w:val="single" w:color="C9D2E0" w:sz="6"/>
        </w:pBdr>
        <w:spacing w:after="180" w:before="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TL;DR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funnel loses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97.6%</w:t>
      </w:r>
      <w:r>
        <w:rPr>
          <w:rFonts w:ascii="Calibri" w:cs="Calibri" w:eastAsia="Calibri" w:hAnsi="Calibri"/>
          <w:sz w:val="21"/>
          <w:szCs w:val="21"/>
        </w:rPr>
        <w:t xml:space="preserve"> of users at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view → add-to-cart</w:t>
      </w:r>
      <w:r>
        <w:rPr>
          <w:rFonts w:ascii="Calibri" w:cs="Calibri" w:eastAsia="Calibri" w:hAnsi="Calibri"/>
          <w:sz w:val="21"/>
          <w:szCs w:val="21"/>
        </w:rPr>
        <w:t xml:space="preserve"> step, and a further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72.0%</w:t>
      </w:r>
      <w:r>
        <w:rPr>
          <w:rFonts w:ascii="Calibri" w:cs="Calibri" w:eastAsia="Calibri" w:hAnsi="Calibri"/>
          <w:sz w:val="21"/>
          <w:szCs w:val="21"/>
        </w:rPr>
        <w:t xml:space="preserve"> of those who do add to cart never purchase. Only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0.83%</w:t>
      </w:r>
      <w:r>
        <w:rPr>
          <w:rFonts w:ascii="Calibri" w:cs="Calibri" w:eastAsia="Calibri" w:hAnsi="Calibri"/>
          <w:sz w:val="21"/>
          <w:szCs w:val="21"/>
        </w:rPr>
        <w:t xml:space="preserve"> of viewers buy. But the two drops are not equally actionable: the view→cart drop is dominated by low-intent browsing, while the cart→purchase drop happens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after</w:t>
      </w:r>
      <w:r>
        <w:rPr>
          <w:rFonts w:ascii="Calibri" w:cs="Calibri" w:eastAsia="Calibri" w:hAnsi="Calibri"/>
          <w:sz w:val="21"/>
          <w:szCs w:val="21"/>
        </w:rPr>
        <w:t xml:space="preserve"> intent is demonstrated — the higher-leverage place to intervene.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My recommendation is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prioritise the add-to-cart → purchase step first</w:t>
      </w:r>
      <w:r>
        <w:rPr>
          <w:rFonts w:ascii="Calibri" w:cs="Calibri" w:eastAsia="Calibri" w:hAnsi="Calibri"/>
          <w:sz w:val="21"/>
          <w:szCs w:val="21"/>
        </w:rPr>
        <w:t xml:space="preserve">, with a specific bet on reducing first-time-buyer checkout friction, and to treat the view→cart step as a secondary bet.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Two findings from the data changed this plan rather than confirming it</w:t>
      </w:r>
      <w:r>
        <w:rPr>
          <w:rFonts w:ascii="Calibri" w:cs="Calibri" w:eastAsia="Calibri" w:hAnsi="Calibri"/>
          <w:sz w:val="21"/>
          <w:szCs w:val="21"/>
        </w:rPr>
        <w:t xml:space="preserve">, and both are carried through below: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Larger carts convert better, not worse</w:t>
      </w:r>
      <w:r>
        <w:rPr>
          <w:rFonts w:ascii="Calibri" w:cs="Calibri" w:eastAsia="Calibri" w:hAnsi="Calibri"/>
          <w:sz w:val="21"/>
          <w:szCs w:val="21"/>
        </w:rPr>
        <w:t xml:space="preserve"> (36.9% vs 25.8% same-day). The intuitive “cost shock on big baskets” story is not what the data shows, so cost transparency is demoted from lead bet to third priority. The lead becomes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first-time-buyer checkout friction</w:t>
      </w:r>
      <w:r>
        <w:rPr>
          <w:rFonts w:ascii="Calibri" w:cs="Calibri" w:eastAsia="Calibri" w:hAnsi="Calibri"/>
          <w:sz w:val="21"/>
          <w:szCs w:val="21"/>
        </w:rPr>
        <w:t xml:space="preserve"> — new visitors convert 11 points below returning ones and are 85% of all cart-adders. The actionable pocket is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new visitor with a single-item cart</w:t>
      </w:r>
      <w:r>
        <w:rPr>
          <w:rFonts w:ascii="Calibri" w:cs="Calibri" w:eastAsia="Calibri" w:hAnsi="Calibri"/>
          <w:sz w:val="21"/>
          <w:szCs w:val="21"/>
        </w:rPr>
        <w:t xml:space="preserve"> (23.9%, and 65% of all cart activity).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5% relative MDE is not testable here.</w:t>
      </w:r>
      <w:r>
        <w:rPr>
          <w:rFonts w:ascii="Calibri" w:cs="Calibri" w:eastAsia="Calibri" w:hAnsi="Calibri"/>
          <w:sz w:val="21"/>
          <w:szCs w:val="21"/>
        </w:rPr>
        <w:t xml:space="preserve"> At ~1,894 cart-adders/week it needs ~17 weeks — not the 1–2 weeks originally assumed. The experiment is re-specified around an effect this traffic can actually resolve.</w:t>
      </w:r>
    </w:p>
    <w:p>
      <w:pPr>
        <w:pBdr>
          <w:bottom w:val="single" w:color="C9D2E0" w:sz="6"/>
        </w:pBdr>
        <w:spacing w:after="180" w:before="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Context &amp; the funnel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Product:</w:t>
      </w:r>
      <w:r>
        <w:rPr>
          <w:rFonts w:ascii="Calibri" w:cs="Calibri" w:eastAsia="Calibri" w:hAnsi="Calibri"/>
          <w:sz w:val="21"/>
          <w:szCs w:val="21"/>
        </w:rPr>
        <w:t xml:space="preserve"> an e-commerce store.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Data:</w:t>
      </w:r>
      <w:r>
        <w:rPr>
          <w:rFonts w:ascii="Calibri" w:cs="Calibri" w:eastAsia="Calibri" w:hAnsi="Calibri"/>
          <w:sz w:val="21"/>
          <w:szCs w:val="21"/>
        </w:rPr>
        <w:t xml:space="preserve"> RetailRocket clickstream — real user-event data (view / add-to-cart / transaction) from 2015-05-03 to 2015-09-18 (137 days):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2,755,641 events across 1,407,580 visitors</w:t>
      </w:r>
      <w:r>
        <w:rPr>
          <w:rFonts w:ascii="Calibri" w:cs="Calibri" w:eastAsia="Calibri" w:hAnsi="Calibri"/>
          <w:sz w:val="21"/>
          <w:szCs w:val="21"/>
        </w:rPr>
        <w:t xml:space="preserve">, of which 22,457 are transaction events comprising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17,672 distinct orders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The funnel (visitor-level)</w:t>
      </w:r>
    </w:p>
    <w:tbl>
      <w:tblPr>
        <w:tblW w:type="dxa" w:w="9360"/>
        <w:tblBorders>
          <w:top w:val="single" w:color="AAB6C8" w:sz="4"/>
          <w:left w:val="none"/>
          <w:bottom w:val="single" w:color="AAB6C8" w:sz="4"/>
          <w:right w:val="none"/>
          <w:insideH w:val="single" w:color="D6DDE8" w:sz="2"/>
          <w:insideV w:val="none"/>
        </w:tblBorders>
      </w:tblPr>
      <w:tblGrid>
        <w:gridCol w:w="2200"/>
        <w:gridCol w:w="1500"/>
        <w:gridCol w:w="2100"/>
        <w:gridCol w:w="2100"/>
        <w:gridCol w:w="1460"/>
      </w:tblGrid>
      <w:tr>
        <w:trPr>
          <w:tblHeader/>
        </w:trPr>
        <w:tc>
          <w:tcPr>
            <w:tcW w:type="dxa" w:w="22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Stage</w:t>
            </w:r>
          </w:p>
        </w:tc>
        <w:tc>
          <w:tcPr>
            <w:tcW w:type="dxa" w:w="15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Visitors</w:t>
            </w:r>
          </w:p>
        </w:tc>
        <w:tc>
          <w:tcPr>
            <w:tcW w:type="dxa" w:w="21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Step conv. (stage-count)</w:t>
            </w:r>
          </w:p>
        </w:tc>
        <w:tc>
          <w:tcPr>
            <w:tcW w:type="dxa" w:w="21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Step conv. (progression)</w:t>
            </w:r>
          </w:p>
        </w:tc>
        <w:tc>
          <w:tcPr>
            <w:tcW w:type="dxa" w:w="146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Cumulative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Viewed a product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1,404,179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 to cart</w:t>
            </w:r>
          </w:p>
        </w:tc>
        <w:tc>
          <w:tcPr>
            <w:tcW w:type="dxa" w:w="15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37,722</w:t>
            </w:r>
          </w:p>
        </w:tc>
        <w:tc>
          <w:tcPr>
            <w:tcW w:type="dxa" w:w="21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2.69%</w:t>
            </w:r>
          </w:p>
        </w:tc>
        <w:tc>
          <w:tcPr>
            <w:tcW w:type="dxa" w:w="21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2.45%</w:t>
            </w:r>
          </w:p>
        </w:tc>
        <w:tc>
          <w:tcPr>
            <w:tcW w:type="dxa" w:w="14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2.69%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Purchased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11,719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31.07%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28.04%</w:t>
            </w:r>
          </w:p>
        </w:tc>
        <w:tc>
          <w:tcPr>
            <w:tcW w:type="dxa" w:w="1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0.83%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Two rates per step, because they answer different questions.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This document uses the progression column throughout</w:t>
      </w:r>
      <w:r>
        <w:rPr>
          <w:rFonts w:ascii="Calibri" w:cs="Calibri" w:eastAsia="Calibri" w:hAnsi="Calibri"/>
          <w:sz w:val="21"/>
          <w:szCs w:val="21"/>
        </w:rPr>
        <w:t xml:space="preserve">, since that is the rate an intervention on a step can actually move.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shape: view→cart is a brutally steep 2.45%, while cart→purchase is a comparatively healthy 28.04%. Nearly all raw loss is at the top; nearly all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recoverable intent</w:t>
      </w:r>
      <w:r>
        <w:rPr>
          <w:rFonts w:ascii="Calibri" w:cs="Calibri" w:eastAsia="Calibri" w:hAnsi="Calibri"/>
          <w:sz w:val="21"/>
          <w:szCs w:val="21"/>
        </w:rPr>
        <w:t xml:space="preserve"> is at the bottom.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visitor-level, not event-level:</w:t>
      </w:r>
      <w:r>
        <w:rPr>
          <w:rFonts w:ascii="Calibri" w:cs="Calibri" w:eastAsia="Calibri" w:hAnsi="Calibri"/>
          <w:sz w:val="21"/>
          <w:szCs w:val="21"/>
        </w:rPr>
        <w:t xml:space="preserve"> a funnel should count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people who progressed</w:t>
      </w:r>
      <w:r>
        <w:rPr>
          <w:rFonts w:ascii="Calibri" w:cs="Calibri" w:eastAsia="Calibri" w:hAnsi="Calibri"/>
          <w:sz w:val="21"/>
          <w:szCs w:val="21"/>
        </w:rPr>
        <w:t xml:space="preserve">, not raw events — otherwise a single user viewing 20 items inflates the top of the funnel and distorts the conversion rate.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A measurement subtlety that affects both steps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Not everyone at a stage passed through the stage recorded before it: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1,143 of 11,719 buyers (9.8%) have no add-to-cart event at all.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3,321 of 37,722 cart-adders (8.8%) have no view event at all.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Either a tracking gap, or a real path that skips the step (a direct link into a cart, a re-order). Dividing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all</w:t>
      </w:r>
      <w:r>
        <w:rPr>
          <w:rFonts w:ascii="Calibri" w:cs="Calibri" w:eastAsia="Calibri" w:hAnsi="Calibri"/>
          <w:sz w:val="21"/>
          <w:szCs w:val="21"/>
        </w:rPr>
        <w:t xml:space="preserve"> buyers by cart-adders puts the first group in the numerator when they were never in the denominator, inflating cart→purchase to 31.07%; the same arithmetic inflates view→cart to 2.69%. The progression column instead counts only visitors who reached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both</w:t>
      </w:r>
      <w:r>
        <w:rPr>
          <w:rFonts w:ascii="Calibri" w:cs="Calibri" w:eastAsia="Calibri" w:hAnsi="Calibri"/>
          <w:sz w:val="21"/>
          <w:szCs w:val="21"/>
        </w:rPr>
        <w:t xml:space="preserve"> the stage and the one before it — 10,576 buyers who also carted (28.04%), and 34,401 cart-adders who also viewed (2.45%).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Nothing downstream in this document changes as a result.</w:t>
      </w:r>
      <w:r>
        <w:rPr>
          <w:rFonts w:ascii="Calibri" w:cs="Calibri" w:eastAsia="Calibri" w:hAnsi="Calibri"/>
          <w:sz w:val="21"/>
          <w:szCs w:val="21"/>
        </w:rPr>
        <w:t xml:space="preserve"> The experiment sizing, the segment cuts, and the revenue translation are all built on cart→purchase and the cart-adder population, which the view-step gap does not touch. The correction matters for honesty and for anyone reusing these figures, not for the recommendation.</w:t>
      </w:r>
    </w:p>
    <w:p>
      <w:pPr>
        <w:pBdr>
          <w:bottom w:val="single" w:color="C9D2E0" w:sz="6"/>
        </w:pBdr>
        <w:spacing w:after="180" w:before="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Diagnosis — where is the real leak?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Two drops stand out. The instinct is to attack the biggest number (view→cart), but the right question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which drop represents fixable lost intent</w:t>
      </w:r>
      <w:r>
        <w:rPr>
          <w:rFonts w:ascii="Calibri" w:cs="Calibri" w:eastAsia="Calibri" w:hAnsi="Calibri"/>
          <w:sz w:val="21"/>
          <w:szCs w:val="21"/>
        </w:rPr>
        <w:t xml:space="preserve">, not which is largest.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Drop A — view → add-to-cart (largest, but partly expected).</w:t>
      </w:r>
      <w:r>
        <w:rPr>
          <w:rFonts w:ascii="Calibri" w:cs="Calibri" w:eastAsia="Calibri" w:hAnsi="Calibri"/>
          <w:sz w:val="21"/>
          <w:szCs w:val="21"/>
        </w:rPr>
        <w:t xml:space="preserve"> A product view is weak intent: browsing, comparison-shopping, accidental clicks. A large fraction of viewers were never going to buy. This drop is huge, but much of it is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normal e-commerce behaviour</w:t>
      </w:r>
      <w:r>
        <w:rPr>
          <w:rFonts w:ascii="Calibri" w:cs="Calibri" w:eastAsia="Calibri" w:hAnsi="Calibri"/>
          <w:sz w:val="21"/>
          <w:szCs w:val="21"/>
        </w:rPr>
        <w:t xml:space="preserve">, not a broken experience — the truly addressable portion is smaller than the raw number suggests.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Drop B — add-to-cart → purchase (smaller, higher-intent, more fixable).</w:t>
      </w:r>
      <w:r>
        <w:rPr>
          <w:rFonts w:ascii="Calibri" w:cs="Calibri" w:eastAsia="Calibri" w:hAnsi="Calibri"/>
          <w:sz w:val="21"/>
          <w:szCs w:val="21"/>
        </w:rPr>
        <w:t xml:space="preserve"> Adding to cart is a strong intent signal. When a user does that and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still</w:t>
      </w:r>
      <w:r>
        <w:rPr>
          <w:rFonts w:ascii="Calibri" w:cs="Calibri" w:eastAsia="Calibri" w:hAnsi="Calibri"/>
          <w:sz w:val="21"/>
          <w:szCs w:val="21"/>
        </w:rPr>
        <w:t xml:space="preserve"> doesn't buy, something in the path — cost surprises, a clunky checkout, forced account creation, payment friction — plausibly got in the way. This is where a fix most directly recovers lost,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genuine</w:t>
      </w:r>
      <w:r>
        <w:rPr>
          <w:rFonts w:ascii="Calibri" w:cs="Calibri" w:eastAsia="Calibri" w:hAnsi="Calibri"/>
          <w:sz w:val="21"/>
          <w:szCs w:val="21"/>
        </w:rPr>
        <w:t xml:space="preserve"> demand.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Prioritisation call:</w:t>
      </w:r>
      <w:r>
        <w:rPr>
          <w:rFonts w:ascii="Calibri" w:cs="Calibri" w:eastAsia="Calibri" w:hAnsi="Calibri"/>
          <w:sz w:val="21"/>
          <w:szCs w:val="21"/>
        </w:rPr>
        <w:t xml:space="preserve"> lead with Drop B. Best ratio of addressable intent to effort.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Cut 1 — New vs returning (visitor grain)</w:t>
      </w:r>
    </w:p>
    <w:p>
      <w:pPr>
        <w:spacing w:after="140" w:line="276"/>
      </w:pPr>
      <w:r>
        <w:rPr>
          <w:rFonts w:ascii="Calibri" w:cs="Calibri" w:eastAsia="Calibri" w:hAnsi="Calibri"/>
          <w:sz w:val="19"/>
          <w:szCs w:val="19"/>
        </w:rPr>
        <w:t xml:space="preserve">“Returning” = had activity on a calendar day strictly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before</w:t>
      </w:r>
      <w:r>
        <w:rPr>
          <w:rFonts w:ascii="Calibri" w:cs="Calibri" w:eastAsia="Calibri" w:hAnsi="Calibri"/>
          <w:sz w:val="19"/>
          <w:szCs w:val="19"/>
        </w:rPr>
        <w:t xml:space="preserve"> their first add-to-cart day. Status is judged at the moment of intent on purpose: the simpler “active on 2+ days overall” definition has lookahead bias, because purchasing itself generates later activity and would mechanically inflate the returning group.</w:t>
      </w:r>
    </w:p>
    <w:tbl>
      <w:tblPr>
        <w:tblW w:type="dxa" w:w="9360"/>
        <w:tblBorders>
          <w:top w:val="single" w:color="AAB6C8" w:sz="4"/>
          <w:left w:val="none"/>
          <w:bottom w:val="single" w:color="AAB6C8" w:sz="4"/>
          <w:right w:val="none"/>
          <w:insideH w:val="single" w:color="D6DDE8" w:sz="2"/>
          <w:insideV w:val="none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Segment</w:t>
            </w:r>
          </w:p>
        </w:tc>
        <w:tc>
          <w:tcPr>
            <w:tcW w:type="dxa" w:w="20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Cart visitors</w:t>
            </w:r>
          </w:p>
        </w:tc>
        <w:tc>
          <w:tcPr>
            <w:tcW w:type="dxa" w:w="20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Purchasers</w:t>
            </w:r>
          </w:p>
        </w:tc>
        <w:tc>
          <w:tcPr>
            <w:tcW w:type="dxa" w:w="20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Cart→purchase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32,106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8,476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26.40%</w:t>
            </w:r>
          </w:p>
        </w:tc>
      </w:tr>
      <w:tr>
        <w:tc>
          <w:tcPr>
            <w:tcW w:type="dxa" w:w="33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Returning</w:t>
            </w:r>
          </w:p>
        </w:tc>
        <w:tc>
          <w:tcPr>
            <w:tcW w:type="dxa" w:w="2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5,616</w:t>
            </w:r>
          </w:p>
        </w:tc>
        <w:tc>
          <w:tcPr>
            <w:tcW w:type="dxa" w:w="2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2,100</w:t>
            </w:r>
          </w:p>
        </w:tc>
        <w:tc>
          <w:tcPr>
            <w:tcW w:type="dxa" w:w="2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37.39%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Cut 2 — Single-item vs multi-item carts (visitor-day grain)</w:t>
      </w:r>
    </w:p>
    <w:p>
      <w:pPr>
        <w:spacing w:after="140" w:line="276"/>
      </w:pPr>
      <w:r>
        <w:rPr>
          <w:rFonts w:ascii="Calibri" w:cs="Calibri" w:eastAsia="Calibri" w:hAnsi="Calibri"/>
          <w:sz w:val="19"/>
          <w:szCs w:val="19"/>
        </w:rPr>
        <w:t xml:space="preserve">The data has no session or cart ID, so a “cart” is approximated by the visitor-day; multi-item = ≥2 distinct items added that day. Primary conversion is same-day, with a 7-day window as a robustness check.</w:t>
      </w:r>
    </w:p>
    <w:tbl>
      <w:tblPr>
        <w:tblW w:type="dxa" w:w="9360"/>
        <w:tblBorders>
          <w:top w:val="single" w:color="AAB6C8" w:sz="4"/>
          <w:left w:val="none"/>
          <w:bottom w:val="single" w:color="AAB6C8" w:sz="4"/>
          <w:right w:val="none"/>
          <w:insideH w:val="single" w:color="D6DDE8" w:sz="2"/>
          <w:insideV w:val="none"/>
        </w:tblBorders>
      </w:tblPr>
      <w:tblGrid>
        <w:gridCol w:w="3360"/>
        <w:gridCol w:w="2000"/>
        <w:gridCol w:w="2200"/>
        <w:gridCol w:w="1800"/>
      </w:tblGrid>
      <w:tr>
        <w:trPr>
          <w:tblHeader/>
        </w:trPr>
        <w:tc>
          <w:tcPr>
            <w:tcW w:type="dxa" w:w="336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Segment</w:t>
            </w:r>
          </w:p>
        </w:tc>
        <w:tc>
          <w:tcPr>
            <w:tcW w:type="dxa" w:w="20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Cart-days</w:t>
            </w:r>
          </w:p>
        </w:tc>
        <w:tc>
          <w:tcPr>
            <w:tcW w:type="dxa" w:w="22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Cart→purchase (same-day)</w:t>
            </w:r>
          </w:p>
        </w:tc>
        <w:tc>
          <w:tcPr>
            <w:tcW w:type="dxa" w:w="18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Within 7 days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Single-item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33,991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25.76%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27.28%</w:t>
            </w:r>
          </w:p>
        </w:tc>
      </w:tr>
      <w:tr>
        <w:tc>
          <w:tcPr>
            <w:tcW w:type="dxa" w:w="33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Multi-item</w:t>
            </w:r>
          </w:p>
        </w:tc>
        <w:tc>
          <w:tcPr>
            <w:tcW w:type="dxa" w:w="2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7,638</w:t>
            </w:r>
          </w:p>
        </w:tc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36.93%</w:t>
            </w:r>
          </w:p>
        </w:tc>
        <w:tc>
          <w:tcPr>
            <w:tcW w:type="dxa" w:w="18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40.64%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Crossed — the actionable pocket</w:t>
      </w:r>
    </w:p>
    <w:tbl>
      <w:tblPr>
        <w:tblW w:type="dxa" w:w="9360"/>
        <w:tblBorders>
          <w:top w:val="single" w:color="AAB6C8" w:sz="4"/>
          <w:left w:val="none"/>
          <w:bottom w:val="single" w:color="AAB6C8" w:sz="4"/>
          <w:right w:val="none"/>
          <w:insideH w:val="single" w:color="D6DDE8" w:sz="2"/>
          <w:insideV w:val="none"/>
        </w:tblBorders>
      </w:tblPr>
      <w:tblGrid>
        <w:gridCol w:w="2360"/>
        <w:gridCol w:w="2200"/>
        <w:gridCol w:w="2400"/>
        <w:gridCol w:w="2400"/>
      </w:tblGrid>
      <w:tr>
        <w:trPr>
          <w:tblHeader/>
        </w:trPr>
        <w:tc>
          <w:tcPr>
            <w:tcW w:type="dxa" w:w="236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Cart size</w:t>
            </w:r>
          </w:p>
        </w:tc>
        <w:tc>
          <w:tcPr>
            <w:tcW w:type="dxa" w:w="24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Cart-days</w:t>
            </w:r>
          </w:p>
        </w:tc>
        <w:tc>
          <w:tcPr>
            <w:tcW w:type="dxa" w:w="24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Cart→purchase</w:t>
            </w:r>
          </w:p>
        </w:tc>
      </w:tr>
      <w:tr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Single-item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27,266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23.86%</w:t>
            </w:r>
          </w:p>
        </w:tc>
      </w:tr>
      <w:tr>
        <w:tc>
          <w:tcPr>
            <w:tcW w:type="dxa" w:w="23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</w:t>
            </w:r>
          </w:p>
        </w:tc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Multi-item</w:t>
            </w:r>
          </w:p>
        </w:tc>
        <w:tc>
          <w:tcPr>
            <w:tcW w:type="dxa" w:w="24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4,840</w:t>
            </w:r>
          </w:p>
        </w:tc>
        <w:tc>
          <w:tcPr>
            <w:tcW w:type="dxa" w:w="24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29.67%</w:t>
            </w:r>
          </w:p>
        </w:tc>
      </w:tr>
      <w:tr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Returning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Single-item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6,725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33.44%</w:t>
            </w:r>
          </w:p>
        </w:tc>
      </w:tr>
      <w:tr>
        <w:tc>
          <w:tcPr>
            <w:tcW w:type="dxa" w:w="23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Returning</w:t>
            </w:r>
          </w:p>
        </w:tc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Multi-item</w:t>
            </w:r>
          </w:p>
        </w:tc>
        <w:tc>
          <w:tcPr>
            <w:tcW w:type="dxa" w:w="24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2,798</w:t>
            </w:r>
          </w:p>
        </w:tc>
        <w:tc>
          <w:tcPr>
            <w:tcW w:type="dxa" w:w="24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49.50%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data contradicted my prior, and that changes the recommendation.</w:t>
      </w:r>
      <w:r>
        <w:rPr>
          <w:rFonts w:ascii="Calibri" w:cs="Calibri" w:eastAsia="Calibri" w:hAnsi="Calibri"/>
          <w:sz w:val="21"/>
          <w:szCs w:val="21"/>
        </w:rPr>
        <w:t xml:space="preserve"> I expected larger carts to convert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worse</w:t>
      </w:r>
      <w:r>
        <w:rPr>
          <w:rFonts w:ascii="Calibri" w:cs="Calibri" w:eastAsia="Calibri" w:hAnsi="Calibri"/>
          <w:sz w:val="21"/>
          <w:szCs w:val="21"/>
        </w:rPr>
        <w:t xml:space="preserve"> (cost shock on a bigger basket). The opposite is true at both the marginal and crossed level: multi-item carts convert ~11 points better, and the effect holds within both new and returning visitors. Basket size here is behaving as an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intent proxy</w:t>
      </w:r>
      <w:r>
        <w:rPr>
          <w:rFonts w:ascii="Calibri" w:cs="Calibri" w:eastAsia="Calibri" w:hAnsi="Calibri"/>
          <w:sz w:val="21"/>
          <w:szCs w:val="21"/>
        </w:rPr>
        <w:t xml:space="preserve">, not a price-pain proxy — someone adding three items is more committed, not more likely to balk. This meaningfully weakens the “unexpected costs” story as the lead explanation.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So the actionable pocket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new visitors with single-item carts: 23.86% against a 28.04% baseline, across 27,266 cart-days — 65% of all cart activity.</w:t>
      </w:r>
      <w:r>
        <w:rPr>
          <w:rFonts w:ascii="Calibri" w:cs="Calibri" w:eastAsia="Calibri" w:hAnsi="Calibri"/>
          <w:sz w:val="21"/>
          <w:szCs w:val="21"/>
        </w:rPr>
        <w:t xml:space="preserve"> That is the opposite of a niche: it is the modal cart, converting worst. An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average</w:t>
      </w:r>
      <w:r>
        <w:rPr>
          <w:rFonts w:ascii="Calibri" w:cs="Calibri" w:eastAsia="Calibri" w:hAnsi="Calibri"/>
          <w:sz w:val="21"/>
          <w:szCs w:val="21"/>
        </w:rPr>
        <w:t xml:space="preserve"> conversion rate hid it entirely.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Two cuts named in the original plan were not run: item price band is not analysable — the dataset's price property is hashed/normalised, not real currency — and time-of-day / day-of-week was scoped out. Neither is claimed below.</w:t>
      </w:r>
    </w:p>
    <w:p>
      <w:pPr>
        <w:pBdr>
          <w:bottom w:val="single" w:color="C9D2E0" w:sz="6"/>
        </w:pBdr>
        <w:spacing w:after="180" w:before="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Hypotheses (prioritised with RICE)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Candidate explanations for the add-to-cart → purchase drop, scored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Reach × Impact × Confidence ÷ Effort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Scoring honesty: </w:t>
      </w: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Reach is data-derived</w:t>
      </w: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 — sized from the real segment populations in §2. </w:t>
      </w: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Impact, Confidence and Effort are judgment calls</w:t>
      </w: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, informed by the segment evidence but not measurable from a clickstream that contains no checkout, pricing, or payment instrumentation. They are labelled as estimates rather than dressed up as findings.</w:t>
      </w:r>
    </w:p>
    <w:tbl>
      <w:tblPr>
        <w:tblW w:type="dxa" w:w="9360"/>
        <w:tblBorders>
          <w:top w:val="single" w:color="AAB6C8" w:sz="4"/>
          <w:left w:val="none"/>
          <w:bottom w:val="single" w:color="AAB6C8" w:sz="4"/>
          <w:right w:val="none"/>
          <w:insideH w:val="single" w:color="D6DDE8" w:sz="2"/>
          <w:insideV w:val="none"/>
        </w:tblBorders>
      </w:tblPr>
      <w:tblGrid>
        <w:gridCol w:w="450"/>
        <w:gridCol w:w="2500"/>
        <w:gridCol w:w="2500"/>
        <w:gridCol w:w="750"/>
        <w:gridCol w:w="1000"/>
        <w:gridCol w:w="750"/>
        <w:gridCol w:w="700"/>
        <w:gridCol w:w="710"/>
      </w:tblGrid>
      <w:tr>
        <w:trPr>
          <w:tblHeader/>
        </w:trPr>
        <w:tc>
          <w:tcPr>
            <w:tcW w:type="dxa" w:w="45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#</w:t>
            </w:r>
          </w:p>
        </w:tc>
        <w:tc>
          <w:tcPr>
            <w:tcW w:type="dxa" w:w="25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Hypothesis</w:t>
            </w:r>
          </w:p>
        </w:tc>
        <w:tc>
          <w:tcPr>
            <w:tcW w:type="dxa" w:w="25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Reach (from data)</w:t>
            </w:r>
          </w:p>
        </w:tc>
        <w:tc>
          <w:tcPr>
            <w:tcW w:type="dxa" w:w="75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Imp.</w:t>
            </w:r>
          </w:p>
        </w:tc>
        <w:tc>
          <w:tcPr>
            <w:tcW w:type="dxa" w:w="10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Conf.</w:t>
            </w:r>
          </w:p>
        </w:tc>
        <w:tc>
          <w:tcPr>
            <w:tcW w:type="dxa" w:w="75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Eff.</w:t>
            </w:r>
          </w:p>
        </w:tc>
        <w:tc>
          <w:tcPr>
            <w:tcW w:type="dxa" w:w="7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RICE</w:t>
            </w:r>
          </w:p>
        </w:tc>
        <w:tc>
          <w:tcPr>
            <w:tcW w:type="dxa" w:w="71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Pri.</w:t>
            </w:r>
          </w:p>
        </w:tc>
      </w:tr>
      <w:tr>
        <w:tc>
          <w:tcPr>
            <w:tcW w:type="dxa" w:w="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H2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Checkout friction / forced account creation deters first-time buyers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High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32,106 of 37,722 cart visitors (85%) are new</w:t>
            </w:r>
          </w:p>
        </w:tc>
        <w:tc>
          <w:tcPr>
            <w:tcW w:type="dxa" w:w="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Med-High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↑</w:t>
            </w:r>
          </w:p>
        </w:tc>
        <w:tc>
          <w:tcPr>
            <w:tcW w:type="dxa" w:w="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7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5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H4</w:t>
            </w:r>
          </w:p>
        </w:tc>
        <w:tc>
          <w:tcPr>
            <w:tcW w:type="dxa" w:w="25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reassurance for first-timers (trust signals, returns, stock)</w:t>
            </w:r>
          </w:p>
        </w:tc>
        <w:tc>
          <w:tcPr>
            <w:tcW w:type="dxa" w:w="25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High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same 85% new-visitor base</w:t>
            </w:r>
          </w:p>
        </w:tc>
        <w:tc>
          <w:tcPr>
            <w:tcW w:type="dxa" w:w="75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</w:t>
            </w:r>
          </w:p>
        </w:tc>
        <w:tc>
          <w:tcPr>
            <w:tcW w:type="dxa" w:w="1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 ↑</w:t>
            </w:r>
          </w:p>
        </w:tc>
        <w:tc>
          <w:tcPr>
            <w:tcW w:type="dxa" w:w="75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</w:t>
            </w:r>
          </w:p>
        </w:tc>
        <w:tc>
          <w:tcPr>
            <w:tcW w:type="dxa" w:w="7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71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H1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Unexpected costs (shipping/fees) shown late cause abandonment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High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all 41,629 cart-days</w:t>
            </w:r>
          </w:p>
        </w:tc>
        <w:tc>
          <w:tcPr>
            <w:tcW w:type="dxa" w:w="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Low-Med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↓</w:t>
            </w:r>
          </w:p>
        </w:tc>
        <w:tc>
          <w:tcPr>
            <w:tcW w:type="dxa" w:w="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</w:t>
            </w:r>
          </w:p>
        </w:tc>
        <w:tc>
          <w:tcPr>
            <w:tcW w:type="dxa" w:w="7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5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H5</w:t>
            </w:r>
          </w:p>
        </w:tc>
        <w:tc>
          <w:tcPr>
            <w:tcW w:type="dxa" w:w="25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Cart isn't persisted across sessions</w:t>
            </w:r>
          </w:p>
        </w:tc>
        <w:tc>
          <w:tcPr>
            <w:tcW w:type="dxa" w:w="25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Low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5,616 returning cart visitors (15%), and they already convert best</w:t>
            </w:r>
          </w:p>
        </w:tc>
        <w:tc>
          <w:tcPr>
            <w:tcW w:type="dxa" w:w="75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</w:t>
            </w:r>
          </w:p>
        </w:tc>
        <w:tc>
          <w:tcPr>
            <w:tcW w:type="dxa" w:w="1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 ↓</w:t>
            </w:r>
          </w:p>
        </w:tc>
        <w:tc>
          <w:tcPr>
            <w:tcW w:type="dxa" w:w="75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</w:t>
            </w:r>
          </w:p>
        </w:tc>
        <w:tc>
          <w:tcPr>
            <w:tcW w:type="dxa" w:w="7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</w:t>
            </w:r>
          </w:p>
        </w:tc>
        <w:tc>
          <w:tcPr>
            <w:tcW w:type="dxa" w:w="71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H3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Payment step friction (limited options / failures)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Unsizable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no payment events in this dataset</w:t>
            </w:r>
          </w:p>
        </w:tc>
        <w:tc>
          <w:tcPr>
            <w:tcW w:type="dxa" w:w="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7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Defer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↑/↓ mark scores moved </w:t>
      </w: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by the segment evidence</w:t>
      </w:r>
      <w:r>
        <w:rPr>
          <w:rFonts w:ascii="Calibri" w:cs="Calibri" w:eastAsia="Calibri" w:hAnsi="Calibri"/>
          <w:color w:val="44546A"/>
          <w:sz w:val="18"/>
          <w:szCs w:val="18"/>
        </w:rPr>
        <w:t xml:space="preserve"> from my pre-analysis priors.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hypothesis: H2 — first-time-buyer checkout friction.</w:t>
      </w:r>
      <w:r>
        <w:rPr>
          <w:rFonts w:ascii="Calibri" w:cs="Calibri" w:eastAsia="Calibri" w:hAnsi="Calibri"/>
          <w:sz w:val="21"/>
          <w:szCs w:val="21"/>
        </w:rPr>
        <w:t xml:space="preserve"> The single largest signal in the data is that new visitors convert at 26.40% vs 37.39% for returning — an 11-point gap, concentrated in the 85% of cart-adders who are new. Forced account creation and a long checkout penalise exactly that group: a returning visitor has already paid the account-setup cost, a first-timer hasn't. The hypothesis predicts the gap we actually observe, which is why it leads.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H1 was demoted from lead.</w:t>
      </w:r>
      <w:r>
        <w:rPr>
          <w:rFonts w:ascii="Calibri" w:cs="Calibri" w:eastAsia="Calibri" w:hAnsi="Calibri"/>
          <w:sz w:val="21"/>
          <w:szCs w:val="21"/>
        </w:rPr>
        <w:t xml:space="preserve"> Cost transparency remains a well-evidenced lever in e-commerce generally, so it stays on the list — but the specific prediction it makes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here</w:t>
      </w:r>
      <w:r>
        <w:rPr>
          <w:rFonts w:ascii="Calibri" w:cs="Calibri" w:eastAsia="Calibri" w:hAnsi="Calibri"/>
          <w:sz w:val="21"/>
          <w:szCs w:val="21"/>
        </w:rPr>
        <w:t xml:space="preserve"> fails. If late cost disclosure drove abandonment, larger baskets should convert worse. They convert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better</w:t>
      </w:r>
      <w:r>
        <w:rPr>
          <w:rFonts w:ascii="Calibri" w:cs="Calibri" w:eastAsia="Calibri" w:hAnsi="Calibri"/>
          <w:sz w:val="21"/>
          <w:szCs w:val="21"/>
        </w:rPr>
        <w:t xml:space="preserve"> (36.93% vs 25.76%). That is evidence against cost shock being the dominant mechanism in this dataset, so its Confidence drops.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H3 is deferred, not scored.</w:t>
      </w:r>
      <w:r>
        <w:rPr>
          <w:rFonts w:ascii="Calibri" w:cs="Calibri" w:eastAsia="Calibri" w:hAnsi="Calibri"/>
          <w:sz w:val="21"/>
          <w:szCs w:val="21"/>
        </w:rPr>
        <w:t xml:space="preserve"> The dataset has no payment or checkout-step events, so its Reach cannot be estimated at all. Assigning it a RICE score would be inventing precision.</w:t>
      </w:r>
    </w:p>
    <w:p>
      <w:pPr>
        <w:pBdr>
          <w:bottom w:val="single" w:color="C9D2E0" w:sz="6"/>
        </w:pBdr>
        <w:spacing w:after="180" w:before="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Experiment design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Sizing reality check (do this before choosing an MDE)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Assignment is per visitor, so the binding constraint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~1,894 distinct cart-adders per week</w:t>
      </w:r>
      <w:r>
        <w:rPr>
          <w:rFonts w:ascii="Calibri" w:cs="Calibri" w:eastAsia="Calibri" w:hAnsi="Calibri"/>
          <w:sz w:val="21"/>
          <w:szCs w:val="21"/>
        </w:rPr>
        <w:t xml:space="preserve">. Against the 28.04% baseline, at 95% two-sided confidence and 80% power:</w:t>
      </w:r>
    </w:p>
    <w:tbl>
      <w:tblPr>
        <w:tblW w:type="dxa" w:w="9360"/>
        <w:tblBorders>
          <w:top w:val="single" w:color="AAB6C8" w:sz="4"/>
          <w:left w:val="none"/>
          <w:bottom w:val="single" w:color="AAB6C8" w:sz="4"/>
          <w:right w:val="none"/>
          <w:insideH w:val="single" w:color="D6DDE8" w:sz="2"/>
          <w:insideV w:val="none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Relative lift (MDE)</w:t>
            </w:r>
          </w:p>
        </w:tc>
        <w:tc>
          <w:tcPr>
            <w:tcW w:type="dxa" w:w="22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Visitors per arm</w:t>
            </w:r>
          </w:p>
        </w:tc>
        <w:tc>
          <w:tcPr>
            <w:tcW w:type="dxa" w:w="22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Weeks at observed traffic</w:t>
            </w:r>
          </w:p>
        </w:tc>
      </w:tr>
      <w:tr>
        <w:tc>
          <w:tcPr>
            <w:tcW w:type="dxa" w:w="2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+5%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16,356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32,712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17.3</w:t>
            </w:r>
          </w:p>
        </w:tc>
      </w:tr>
      <w:tr>
        <w:tc>
          <w:tcPr>
            <w:tcW w:type="dxa" w:w="27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+10%</w:t>
            </w:r>
          </w:p>
        </w:tc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4,147</w:t>
            </w:r>
          </w:p>
        </w:tc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8,294</w:t>
            </w:r>
          </w:p>
        </w:tc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</w:t>
            </w:r>
          </w:p>
        </w:tc>
      </w:tr>
      <w:tr>
        <w:tc>
          <w:tcPr>
            <w:tcW w:type="dxa" w:w="2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+15%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1,868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3,736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7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+20%</w:t>
            </w:r>
          </w:p>
        </w:tc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1,064</w:t>
            </w:r>
          </w:p>
        </w:tc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2,128</w:t>
            </w:r>
          </w:p>
        </w:tc>
        <w:tc>
          <w:tcPr>
            <w:tcW w:type="dxa" w:w="22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</w:t>
            </w:r>
          </w:p>
        </w:tc>
      </w:tr>
    </w:tbl>
    <w:p>
      <w:pPr>
        <w:spacing w:after="15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This kills the original ~5% MDE.</w:t>
      </w:r>
      <w:r>
        <w:rPr>
          <w:rFonts w:ascii="Calibri" w:cs="Calibri" w:eastAsia="Calibri" w:hAnsi="Calibri"/>
          <w:sz w:val="21"/>
          <w:szCs w:val="21"/>
        </w:rPr>
        <w:t xml:space="preserve"> Detecting a 5% relative lift needs ~17 weeks of continuous traffic — well over a quarter, and long enough that seasonality and site changes would contaminate the read. The plan is therefore re-specified around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+10% relative as the MDE, ~4.5 weeks</w:t>
      </w:r>
      <w:r>
        <w:rPr>
          <w:rFonts w:ascii="Calibri" w:cs="Calibri" w:eastAsia="Calibri" w:hAnsi="Calibri"/>
          <w:sz w:val="21"/>
          <w:szCs w:val="21"/>
        </w:rPr>
        <w:t xml:space="preserve">, the smallest effect this traffic volume can honestly resolve in a sane window.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trade-off must be stated plainly: a +10% MDE means the test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blind to a real +6% improvement</w:t>
      </w:r>
      <w:r>
        <w:rPr>
          <w:rFonts w:ascii="Calibri" w:cs="Calibri" w:eastAsia="Calibri" w:hAnsi="Calibri"/>
          <w:sz w:val="21"/>
          <w:szCs w:val="21"/>
        </w:rPr>
        <w:t xml:space="preserve"> — a lift worth shipping would come back “not significant.” That is a limitation of the available traffic, not evidence of no effect, and it should be pre-registered as such so a null result isn't over-read.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Experiment 1 — Guest checkout for first-time buyers (tests H2)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Hypothesis:</w:t>
      </w:r>
      <w:r>
        <w:rPr>
          <w:rFonts w:ascii="Calibri" w:cs="Calibri" w:eastAsia="Calibri" w:hAnsi="Calibri"/>
          <w:sz w:val="21"/>
          <w:szCs w:val="21"/>
        </w:rPr>
        <w:t xml:space="preserve"> Removing forced account creation and cutting checkout steps lifts cart→purchase most for new visitors — the 85% of cart-adders converting 11 points below returning visitors.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Change:</w:t>
      </w:r>
      <w:r>
        <w:rPr>
          <w:rFonts w:ascii="Calibri" w:cs="Calibri" w:eastAsia="Calibri" w:hAnsi="Calibri"/>
          <w:sz w:val="21"/>
          <w:szCs w:val="21"/>
        </w:rPr>
        <w:t xml:space="preserve"> Variant offers guest checkout with post-purchase optional account creation; control keeps account-required checkout.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Unit of assignment:</w:t>
      </w:r>
      <w:r>
        <w:rPr>
          <w:rFonts w:ascii="Calibri" w:cs="Calibri" w:eastAsia="Calibri" w:hAnsi="Calibri"/>
          <w:sz w:val="21"/>
          <w:szCs w:val="21"/>
        </w:rPr>
        <w:t xml:space="preserve"> visitor (not session) — avoids the same user seeing both.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Primary metric:</w:t>
      </w:r>
      <w:r>
        <w:rPr>
          <w:rFonts w:ascii="Calibri" w:cs="Calibri" w:eastAsia="Calibri" w:hAnsi="Calibri"/>
          <w:sz w:val="21"/>
          <w:szCs w:val="21"/>
        </w:rPr>
        <w:t xml:space="preserve"> cart→purchase conversion (progression-based, per §1).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Pre-registered segment:</w:t>
      </w:r>
      <w:r>
        <w:rPr>
          <w:rFonts w:ascii="Calibri" w:cs="Calibri" w:eastAsia="Calibri" w:hAnsi="Calibri"/>
          <w:sz w:val="21"/>
          <w:szCs w:val="21"/>
        </w:rPr>
        <w:t xml:space="preserve"> new visitors, single-item carts. Powering on this pocket alone (23.86% baseline, ~1,393 cart-days/week) needs ~7.4 weeks at +10%, so the test runs on the full population with the segment as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pre-declared secondary</w:t>
      </w:r>
      <w:r>
        <w:rPr>
          <w:rFonts w:ascii="Calibri" w:cs="Calibri" w:eastAsia="Calibri" w:hAnsi="Calibri"/>
          <w:sz w:val="21"/>
          <w:szCs w:val="21"/>
        </w:rPr>
        <w:t xml:space="preserve"> — not a post-hoc slice fished for significance.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Guardrails:</w:t>
      </w:r>
      <w:r>
        <w:rPr>
          <w:rFonts w:ascii="Calibri" w:cs="Calibri" w:eastAsia="Calibri" w:hAnsi="Calibri"/>
          <w:sz w:val="21"/>
          <w:szCs w:val="21"/>
        </w:rPr>
        <w:t xml:space="preserve"> revenue per visitor, AOV, refund/return rate, and account-creation rate (guest checkout must not gut the signup base).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MDE / duration:</w:t>
      </w:r>
      <w:r>
        <w:rPr>
          <w:rFonts w:ascii="Calibri" w:cs="Calibri" w:eastAsia="Calibri" w:hAnsi="Calibri"/>
          <w:sz w:val="21"/>
          <w:szCs w:val="21"/>
        </w:rPr>
        <w:t xml:space="preserve"> +10% relative, ~4.5 weeks — covering four-plus full weekly cycles to absorb day-of-week effects.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Decision rule:</w:t>
      </w:r>
      <w:r>
        <w:rPr>
          <w:rFonts w:ascii="Calibri" w:cs="Calibri" w:eastAsia="Calibri" w:hAnsi="Calibri"/>
          <w:sz w:val="21"/>
          <w:szCs w:val="21"/>
        </w:rPr>
        <w:t xml:space="preserve"> ship if the primary metric clears significance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no guardrail regresses beyond a pre-set threshold.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Experiment 2 — Early cost transparency (tests H1)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Hypothesis:</w:t>
      </w:r>
      <w:r>
        <w:rPr>
          <w:rFonts w:ascii="Calibri" w:cs="Calibri" w:eastAsia="Calibri" w:hAnsi="Calibri"/>
          <w:sz w:val="21"/>
          <w:szCs w:val="21"/>
        </w:rPr>
        <w:t xml:space="preserve"> Displaying all-in cost (product + shipping + fees) on the cart page rather than at final checkout reduces surprise-driven abandonment.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second:</w:t>
      </w:r>
      <w:r>
        <w:rPr>
          <w:rFonts w:ascii="Calibri" w:cs="Calibri" w:eastAsia="Calibri" w:hAnsi="Calibri"/>
          <w:sz w:val="21"/>
          <w:szCs w:val="21"/>
        </w:rPr>
        <w:t xml:space="preserve"> the basket-size evidence in §2 argues against cost shock being the dominant mechanism here. Cheap to build and worth resolving, but now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test of a weakened prior</w:t>
      </w:r>
      <w:r>
        <w:rPr>
          <w:rFonts w:ascii="Calibri" w:cs="Calibri" w:eastAsia="Calibri" w:hAnsi="Calibri"/>
          <w:sz w:val="21"/>
          <w:szCs w:val="21"/>
        </w:rPr>
        <w:t xml:space="preserve"> rather than the lead bet.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Specific falsifier to watch:</w:t>
      </w:r>
      <w:r>
        <w:rPr>
          <w:rFonts w:ascii="Calibri" w:cs="Calibri" w:eastAsia="Calibri" w:hAnsi="Calibri"/>
          <w:sz w:val="21"/>
          <w:szCs w:val="21"/>
        </w:rPr>
        <w:t xml:space="preserve"> if H1 is right, the lift should concentrate in multi-item carts. Given those already convert best, a flat result there is the expected outcome and should retire the hypothesis rather than prompt a retest.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Experiment 3 — view → cart nudge (tests Drop A, lighter)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Hypothesis:</w:t>
      </w:r>
      <w:r>
        <w:rPr>
          <w:rFonts w:ascii="Calibri" w:cs="Calibri" w:eastAsia="Calibri" w:hAnsi="Calibri"/>
          <w:sz w:val="21"/>
          <w:szCs w:val="21"/>
        </w:rPr>
        <w:t xml:space="preserve"> Clearer add-to-cart affordance / social proof on the product page lifts view→cart for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addressable</w:t>
      </w:r>
      <w:r>
        <w:rPr>
          <w:rFonts w:ascii="Calibri" w:cs="Calibri" w:eastAsia="Calibri" w:hAnsi="Calibri"/>
          <w:sz w:val="21"/>
          <w:szCs w:val="21"/>
        </w:rPr>
        <w:t xml:space="preserve"> segment.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Power is not the constraint here.</w:t>
      </w:r>
      <w:r>
        <w:rPr>
          <w:rFonts w:ascii="Calibri" w:cs="Calibri" w:eastAsia="Calibri" w:hAnsi="Calibri"/>
          <w:sz w:val="21"/>
          <w:szCs w:val="21"/>
        </w:rPr>
        <w:t xml:space="preserve"> Unlike the cart-step tests, this draws on ~1.4M viewers, so it can resolve much smaller effects in the same window.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Running Experiment 3 alongside Experiment 1 — what it does and doesn't do.</w:t>
      </w:r>
      <w:r>
        <w:rPr>
          <w:rFonts w:ascii="Calibri" w:cs="Calibri" w:eastAsia="Calibri" w:hAnsi="Calibri"/>
          <w:sz w:val="21"/>
          <w:szCs w:val="21"/>
        </w:rPr>
        <w:t xml:space="preserve"> Randomised independently, Exp 3 does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 bias Exp 1: its exposure is balanced across Exp 1's arms in expectation, so the guest-checkout comparison stays internally valid. Two real effects remain, and both should be pre-declared: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Dilution.</w:t>
      </w:r>
      <w:r>
        <w:rPr>
          <w:rFonts w:ascii="Calibri" w:cs="Calibri" w:eastAsia="Calibri" w:hAnsi="Calibri"/>
          <w:sz w:val="21"/>
          <w:szCs w:val="21"/>
        </w:rPr>
        <w:t xml:space="preserve"> A successful view→cart nudge pulls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marginal, lower-intent</w:t>
      </w:r>
      <w:r>
        <w:rPr>
          <w:rFonts w:ascii="Calibri" w:cs="Calibri" w:eastAsia="Calibri" w:hAnsi="Calibri"/>
          <w:sz w:val="21"/>
          <w:szCs w:val="21"/>
        </w:rPr>
        <w:t xml:space="preserve"> users into the cart stage — exactly the population that converts worst. Exp 1's measured lift can shrink even if the checkout change is working, because the mix of who reaches checkout has shifted.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Interaction.</w:t>
      </w:r>
      <w:r>
        <w:rPr>
          <w:rFonts w:ascii="Calibri" w:cs="Calibri" w:eastAsia="Calibri" w:hAnsi="Calibri"/>
          <w:sz w:val="21"/>
          <w:szCs w:val="21"/>
        </w:rPr>
        <w:t xml:space="preserve"> The two changes may not be additive. Log Exp 3 assignment as a covariate and test the interaction rather than assuming independence.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Given the cart step already needs ~4.5 weeks, the cleaner sequencing is to run Exp 1 alone first and start Exp 3 after it reads out. “Parallel” is a scheduling convenience, not a free lunch.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Cross-experiment discipline:</w:t>
      </w:r>
      <w:r>
        <w:rPr>
          <w:rFonts w:ascii="Calibri" w:cs="Calibri" w:eastAsia="Calibri" w:hAnsi="Calibri"/>
          <w:sz w:val="21"/>
          <w:szCs w:val="21"/>
        </w:rPr>
        <w:t xml:space="preserve"> watch for novelty effects, don't peek-and-stop (fixed horizon or a proper sequential test), and segment results the same way as the diagnosis so a null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average</w:t>
      </w:r>
      <w:r>
        <w:rPr>
          <w:rFonts w:ascii="Calibri" w:cs="Calibri" w:eastAsia="Calibri" w:hAnsi="Calibri"/>
          <w:sz w:val="21"/>
          <w:szCs w:val="21"/>
        </w:rPr>
        <w:t xml:space="preserve"> doesn't hide a real segment win.</w:t>
      </w:r>
    </w:p>
    <w:p>
      <w:pPr>
        <w:pBdr>
          <w:bottom w:val="single" w:color="C9D2E0" w:sz="6"/>
        </w:pBdr>
        <w:spacing w:after="180" w:before="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Expected impact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Frame the upside in orders, not just rate points — this is what a PM is accountable for.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Monthly baseline, from the real data</w:t>
      </w:r>
      <w:r>
        <w:rPr>
          <w:rFonts w:ascii="Calibri" w:cs="Calibri" w:eastAsia="Calibri" w:hAnsi="Calibri"/>
          <w:sz w:val="21"/>
          <w:szCs w:val="21"/>
        </w:rPr>
        <w:t xml:space="preserve"> (17,672 orders over 137 days):</w:t>
      </w:r>
    </w:p>
    <w:tbl>
      <w:tblPr>
        <w:tblW w:type="dxa" w:w="9360"/>
        <w:tblBorders>
          <w:top w:val="single" w:color="AAB6C8" w:sz="4"/>
          <w:left w:val="none"/>
          <w:bottom w:val="single" w:color="AAB6C8" w:sz="4"/>
          <w:right w:val="none"/>
          <w:insideH w:val="single" w:color="D6DDE8" w:sz="2"/>
          <w:insideV w:val="none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Quantity</w:t>
            </w:r>
          </w:p>
        </w:tc>
        <w:tc>
          <w:tcPr>
            <w:tcW w:type="dxa" w:w="30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Per month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Cart-days (add-to-cart occasions)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9,237</w:t>
            </w:r>
          </w:p>
        </w:tc>
      </w:tr>
      <w:tr>
        <w:tc>
          <w:tcPr>
            <w:tcW w:type="dxa" w:w="63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Purchases from cart-adders</w:t>
            </w:r>
          </w:p>
        </w:tc>
        <w:tc>
          <w:tcPr>
            <w:tcW w:type="dxa" w:w="3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2,347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Distinct orders (all paths)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3,921</w:t>
            </w:r>
          </w:p>
        </w:tc>
      </w:tr>
    </w:tbl>
    <w:p>
      <w:pPr>
        <w:spacing w:after="150"/>
      </w:pP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Sensitivity on the 28.04% baseline:</w:t>
      </w:r>
    </w:p>
    <w:tbl>
      <w:tblPr>
        <w:tblW w:type="dxa" w:w="9360"/>
        <w:tblBorders>
          <w:top w:val="single" w:color="AAB6C8" w:sz="4"/>
          <w:left w:val="none"/>
          <w:bottom w:val="single" w:color="AAB6C8" w:sz="4"/>
          <w:right w:val="none"/>
          <w:insideH w:val="single" w:color="D6DDE8" w:sz="2"/>
          <w:insideV w:val="none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Lead experiment result</w:t>
            </w:r>
          </w:p>
        </w:tc>
        <w:tc>
          <w:tcPr>
            <w:tcW w:type="dxa" w:w="30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Cart→purchase</w:t>
            </w:r>
          </w:p>
        </w:tc>
        <w:tc>
          <w:tcPr>
            <w:tcW w:type="dxa" w:w="3000"/>
            <w:shd w:fill="DE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Additional purchases/month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effect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28.04%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+5% relative</w:t>
            </w:r>
          </w:p>
        </w:tc>
        <w:tc>
          <w:tcPr>
            <w:tcW w:type="dxa" w:w="3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29.44% (+1.40pp)</w:t>
            </w:r>
          </w:p>
        </w:tc>
        <w:tc>
          <w:tcPr>
            <w:tcW w:type="dxa" w:w="3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~130</w:t>
            </w:r>
          </w:p>
        </w:tc>
      </w:tr>
      <w:tr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+10% relative (the MDE)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30.84% (+2.80pp)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~259</w:t>
            </w:r>
          </w:p>
        </w:tc>
      </w:tr>
      <w:tr>
        <w:tc>
          <w:tcPr>
            <w:tcW w:type="dxa" w:w="336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+20% relative</w:t>
            </w:r>
          </w:p>
        </w:tc>
        <w:tc>
          <w:tcPr>
            <w:tcW w:type="dxa" w:w="3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33.65% (+5.61pp)</w:t>
            </w:r>
          </w:p>
        </w:tc>
        <w:tc>
          <w:tcPr>
            <w:tcW w:type="dxa" w:w="3000"/>
            <w:shd w:fill="F4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~518</w:t>
            </w:r>
          </w:p>
        </w:tc>
      </w:tr>
    </w:tbl>
    <w:p>
      <w:pPr>
        <w:spacing w:after="150"/>
      </w:pP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So the realistic win — a detectable +10% — is roughly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259 additional orders per month, ~6.6% on top of the 3,921 the store does today.</w:t>
      </w:r>
      <w:r>
        <w:rPr>
          <w:rFonts w:ascii="Calibri" w:cs="Calibri" w:eastAsia="Calibri" w:hAnsi="Calibri"/>
          <w:sz w:val="21"/>
          <w:szCs w:val="21"/>
        </w:rPr>
        <w:t xml:space="preserve"> Because it acts on already-high-intent users, that lift converts to revenue more reliably than the same relative lift at the top of the funnel.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Deliberately not quantified in currency.</w:t>
      </w:r>
      <w:r>
        <w:rPr>
          <w:rFonts w:ascii="Calibri" w:cs="Calibri" w:eastAsia="Calibri" w:hAnsi="Calibri"/>
          <w:sz w:val="21"/>
          <w:szCs w:val="21"/>
        </w:rPr>
        <w:t xml:space="preserve"> The dataset has no price or order value, so revenue per order cannot be derived. Multiplying by an assumed AOV would manufacture a number the data does not support; the orders figure is where the evidence honestly stops. Anyone with real AOV can complete the arithmetic in one step.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honest ceiling.</w:t>
      </w:r>
      <w:r>
        <w:rPr>
          <w:rFonts w:ascii="Calibri" w:cs="Calibri" w:eastAsia="Calibri" w:hAnsi="Calibri"/>
          <w:sz w:val="21"/>
          <w:szCs w:val="21"/>
        </w:rPr>
        <w:t xml:space="preserve"> Even a +20% cart-step win moves overall view→purchase from 0.83% to roughly 0.99% — the 2.45% view→cart rate caps total funnel conversion no matter how good checkout gets. Cart-step wins are real but bounded. The structurally bigger prize is top-of-funnel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quality</w:t>
      </w:r>
      <w:r>
        <w:rPr>
          <w:rFonts w:ascii="Calibri" w:cs="Calibri" w:eastAsia="Calibri" w:hAnsi="Calibri"/>
          <w:sz w:val="21"/>
          <w:szCs w:val="21"/>
        </w:rPr>
        <w:t xml:space="preserve">: 97.6% of viewers never cart, and shifting that is a traffic-and-discovery problem, not a checkout one.</w:t>
      </w:r>
    </w:p>
    <w:p>
      <w:pPr>
        <w:pBdr>
          <w:bottom w:val="single" w:color="C9D2E0" w:sz="6"/>
        </w:pBdr>
        <w:spacing w:after="180" w:before="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Measurement plan &amp; guardrails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Primary:</w:t>
      </w:r>
      <w:r>
        <w:rPr>
          <w:rFonts w:ascii="Calibri" w:cs="Calibri" w:eastAsia="Calibri" w:hAnsi="Calibri"/>
          <w:sz w:val="21"/>
          <w:szCs w:val="21"/>
        </w:rPr>
        <w:t xml:space="preserve"> cart→purchase conversion (per assigned visitor), progression-based — buyers who also carted ÷ cart-adders. Worth fixing in the metric layer, not just here: the naive variant reads 3 points higher and would flatter any experiment measured against it.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Guardrails:</w:t>
      </w:r>
      <w:r>
        <w:rPr>
          <w:rFonts w:ascii="Calibri" w:cs="Calibri" w:eastAsia="Calibri" w:hAnsi="Calibri"/>
          <w:sz w:val="21"/>
          <w:szCs w:val="21"/>
        </w:rPr>
        <w:t xml:space="preserve"> revenue per visitor, AOV, return/refund rate, account-signup rate.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Segments monitored:</w:t>
      </w:r>
      <w:r>
        <w:rPr>
          <w:rFonts w:ascii="Calibri" w:cs="Calibri" w:eastAsia="Calibri" w:hAnsi="Calibri"/>
          <w:sz w:val="21"/>
          <w:szCs w:val="21"/>
        </w:rPr>
        <w:t xml:space="preserve"> new vs returning, cart size — both pre-declared, with the new/single-item pocket as the named secondary.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Integrity:</w:t>
      </w:r>
      <w:r>
        <w:rPr>
          <w:rFonts w:ascii="Calibri" w:cs="Calibri" w:eastAsia="Calibri" w:hAnsi="Calibri"/>
          <w:sz w:val="21"/>
          <w:szCs w:val="21"/>
        </w:rPr>
        <w:t xml:space="preserve"> MDE (+10% relative) and duration (~4.5 weeks) pre-registered; no early stopping; A/A check that assignment is balanced. A null result at this MDE means “no effect ≥10%”,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 “no effect” — a distinction the write-up must preserve.</w:t>
      </w:r>
    </w:p>
    <w:p>
      <w:pPr>
        <w:pBdr>
          <w:bottom w:val="single" w:color="C9D2E0" w:sz="6"/>
        </w:pBdr>
        <w:spacing w:after="180" w:before="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Risks, assumptions &amp; next steps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Assumptions:</w:t>
      </w:r>
      <w:r>
        <w:rPr>
          <w:rFonts w:ascii="Calibri" w:cs="Calibri" w:eastAsia="Calibri" w:hAnsi="Calibri"/>
          <w:sz w:val="21"/>
          <w:szCs w:val="21"/>
        </w:rPr>
        <w:t xml:space="preserve"> add-to-cart reliably signals intent; the 137-day window (May–Sep 2015) is representative and not seasonally distorted. Two assumptions are known to be imperfect and are handled explicitly rather than waved through: 9.8% of buyers have no cart event and 8.8% of cart-adders no view event, so event definitions do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 map perfectly onto funnel stages; and “cart” is approximated by visitor-day because the data has no session or cart ID.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Risks: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Underpowered by construction.</w:t>
      </w:r>
      <w:r>
        <w:rPr>
          <w:rFonts w:ascii="Calibri" w:cs="Calibri" w:eastAsia="Calibri" w:hAnsi="Calibri"/>
          <w:sz w:val="21"/>
          <w:szCs w:val="21"/>
        </w:rPr>
        <w:t xml:space="preserve"> ~2,127 cart-days/week means effects below +10% relative are undetectable in a reasonable window. The main risk is misreading a null as “no effect.”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New/returning is inferred, not observed.</w:t>
      </w:r>
      <w:r>
        <w:rPr>
          <w:rFonts w:ascii="Calibri" w:cs="Calibri" w:eastAsia="Calibri" w:hAnsi="Calibri"/>
          <w:sz w:val="21"/>
          <w:szCs w:val="21"/>
        </w:rPr>
        <w:t xml:space="preserve"> There is no login or user ID — “returning” means prior on-site activity in this dataset's window, so a visitor active before 2015-05-03, or on another device, is misclassified as new. The 11-point gap is directionally solid but the level is soft.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cart-step win may pull forward low-quality orders</w:t>
      </w:r>
      <w:r>
        <w:rPr>
          <w:rFonts w:ascii="Calibri" w:cs="Calibri" w:eastAsia="Calibri" w:hAnsi="Calibri"/>
          <w:sz w:val="21"/>
          <w:szCs w:val="21"/>
        </w:rPr>
        <w:t xml:space="preserve"> — hence the return-rate guardrail.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Basket size as intent proxy is correlational.</w:t>
      </w:r>
      <w:r>
        <w:rPr>
          <w:rFonts w:ascii="Calibri" w:cs="Calibri" w:eastAsia="Calibri" w:hAnsi="Calibri"/>
          <w:sz w:val="21"/>
          <w:szCs w:val="21"/>
        </w:rPr>
        <w:t xml:space="preserve"> Multi-item carts converting better does not license “make people add more items”; that would manufacture the correlate without the underlying intent.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Next steps:</w:t>
      </w:r>
      <w:r>
        <w:rPr>
          <w:rFonts w:ascii="Calibri" w:cs="Calibri" w:eastAsia="Calibri" w:hAnsi="Calibri"/>
          <w:sz w:val="21"/>
          <w:szCs w:val="21"/>
        </w:rPr>
        <w:t xml:space="preserve"> (1) run Experiment 1 (guest checkout) at the +10% MDE for ~4.5 weeks; (2) based on the result, proceed to Experiment 2 or iterate on the first-time-buyer thesis; (3) instrument checkout and payment steps — H3 cannot even be ranked until then; (4) revisit top-of-funnel traffic quality as the larger structural lever, given the 2.45% ceiling.</w:t>
      </w:r>
    </w:p>
    <w:p>
      <w:pPr>
        <w:pBdr>
          <w:bottom w:val="single" w:color="C9D2E0" w:sz="6"/>
        </w:pBdr>
        <w:spacing w:after="180" w:before="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— how the numbers were produced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All figures are computed from the real RetailRocket clickstream (2,755,641 events, 2015-05-03 → 2015-09-18) by </w:t>
      </w:r>
      <w:r>
        <w:rPr>
          <w:rFonts w:ascii="Consolas" w:cs="Consolas" w:eastAsia="Consolas" w:hAnsi="Consolas"/>
          <w:sz w:val="19"/>
          <w:szCs w:val="19"/>
        </w:rPr>
        <w:t xml:space="preserve">scripts/funnel_analysis.py</w:t>
      </w:r>
      <w:r>
        <w:rPr>
          <w:rFonts w:ascii="Calibri" w:cs="Calibri" w:eastAsia="Calibri" w:hAnsi="Calibri"/>
          <w:sz w:val="21"/>
          <w:szCs w:val="21"/>
        </w:rPr>
        <w:t xml:space="preserve">, which reuses the metric layer of my Product Analytics Dashboard project (pandas + Streamlit). Full output — segment definitions, the 7-day robustness variant, sample-size table, and cross-checks — is in </w:t>
      </w:r>
      <w:r>
        <w:rPr>
          <w:rFonts w:ascii="Consolas" w:cs="Consolas" w:eastAsia="Consolas" w:hAnsi="Consolas"/>
          <w:sz w:val="19"/>
          <w:szCs w:val="19"/>
        </w:rPr>
        <w:t xml:space="preserve">results/funnel_numbers.md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Live dashboard:</w:t>
      </w:r>
      <w:r>
        <w:rPr>
          <w:rFonts w:ascii="Calibri" w:cs="Calibri" w:eastAsia="Calibri" w:hAnsi="Calibri"/>
          <w:sz w:val="21"/>
          <w:szCs w:val="21"/>
        </w:rPr>
        <w:t xml:space="preserve"> https://p-analytics-dashboard.streamlit.app/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Repo:</w:t>
      </w:r>
      <w:r>
        <w:rPr>
          <w:rFonts w:ascii="Calibri" w:cs="Calibri" w:eastAsia="Calibri" w:hAnsi="Calibri"/>
          <w:sz w:val="21"/>
          <w:szCs w:val="21"/>
        </w:rPr>
        <w:t xml:space="preserve"> https://github.com/Ayush05G/product-analytics-dashboard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dashboard's Funnel tab shows the same progression rates (2.45% and 28.04%) with the tracking-gap caveat, so the tool and this document agree on screen.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Definitions used here, stated so they can be audited: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Funnel</w:t>
      </w:r>
      <w:r>
        <w:rPr>
          <w:rFonts w:ascii="Calibri" w:cs="Calibri" w:eastAsia="Calibri" w:hAnsi="Calibri"/>
          <w:sz w:val="21"/>
          <w:szCs w:val="21"/>
        </w:rPr>
        <w:t xml:space="preserve"> — visitor-level progression through view → add-to-cart → transaction, counting distinct people per stage, not events.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Cart→purchase</w:t>
      </w:r>
      <w:r>
        <w:rPr>
          <w:rFonts w:ascii="Calibri" w:cs="Calibri" w:eastAsia="Calibri" w:hAnsi="Calibri"/>
          <w:sz w:val="21"/>
          <w:szCs w:val="21"/>
        </w:rPr>
        <w:t xml:space="preserve"> — progression-based: buyers who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also</w:t>
      </w:r>
      <w:r>
        <w:rPr>
          <w:rFonts w:ascii="Calibri" w:cs="Calibri" w:eastAsia="Calibri" w:hAnsi="Calibri"/>
          <w:sz w:val="21"/>
          <w:szCs w:val="21"/>
        </w:rPr>
        <w:t xml:space="preserve"> carted ÷ cart-adders (28.04%). The naive all-buyers ÷ cart-adders ratio reads 31.07%. The same correction applies to view→cart: 2.45% progressed vs 2.69% naive.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New vs returning</w:t>
      </w:r>
      <w:r>
        <w:rPr>
          <w:rFonts w:ascii="Calibri" w:cs="Calibri" w:eastAsia="Calibri" w:hAnsi="Calibri"/>
          <w:sz w:val="21"/>
          <w:szCs w:val="21"/>
        </w:rPr>
        <w:t xml:space="preserve"> — judged at first-cart time (prior-day activity), not over the whole window, to avoid lookahead bias.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Cart size</w:t>
      </w:r>
      <w:r>
        <w:rPr>
          <w:rFonts w:ascii="Calibri" w:cs="Calibri" w:eastAsia="Calibri" w:hAnsi="Calibri"/>
          <w:sz w:val="21"/>
          <w:szCs w:val="21"/>
        </w:rPr>
        <w:t xml:space="preserve"> — distinct items per visitor-day; no session/cart ID exists.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script asserts internal consistency before reporting: funnel monotonicity, segments summing to stage totals, all rates in [0,1], 7-day conversion ≥ same-day, and reconciliation of the two independent conversion-rate paths.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A6"/>
        <w:sz w:val="16"/>
        <w:szCs w:val="16"/>
      </w:rPr>
      <w:t xml:space="preserve">Funnel Drop-off Case Study · Ayush Gupta · </w:t>
    </w:r>
    <w:r>
      <w:rPr>
        <w:rFonts w:ascii="Calibri" w:cs="Calibri" w:eastAsia="Calibri" w:hAnsi="Calibri"/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Diagnosing and Fixing Funnel Drop-off — A Growth Case Study</dc:title>
  <dc:creator>Ayush Gupta</dc:creator>
  <dc:description>Growth case study on e-commerce funnel drop-off using the RetailRocket clickstream.</dc:description>
  <cp:lastModifiedBy>Un-named</cp:lastModifiedBy>
  <cp:revision>1</cp:revision>
  <dcterms:created xsi:type="dcterms:W3CDTF">2026-07-21T18:44:28.748Z</dcterms:created>
  <dcterms:modified xsi:type="dcterms:W3CDTF">2026-07-21T18:44:28.749Z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