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MEMORANDUM</w:t>
      </w:r>
    </w:p>
    <w:p>
      <w:r>
        <w:t>The memorandum reviews a request under Section 154 CrPC and preserves every proposition with a source reference.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Provision</w:t>
            </w:r>
          </w:p>
        </w:tc>
        <w:tc>
          <w:tcPr>
            <w:tcW w:type="dxa" w:w="4320"/>
          </w:tcPr>
          <w:p>
            <w:r>
              <w:t>Finding</w:t>
            </w:r>
          </w:p>
        </w:tc>
      </w:tr>
      <w:tr>
        <w:tc>
          <w:tcPr>
            <w:tcW w:type="dxa" w:w="4320"/>
          </w:tcPr>
          <w:p>
            <w:r>
              <w:t>Section 154 CrPC</w:t>
            </w:r>
          </w:p>
        </w:tc>
        <w:tc>
          <w:tcPr>
            <w:tcW w:type="dxa" w:w="4320"/>
          </w:tcPr>
          <w:p>
            <w:r>
              <w:t>Registration required</w:t>
            </w:r>
          </w:p>
        </w:tc>
      </w:tr>
      <w:tr>
        <w:tc>
          <w:tcPr>
            <w:tcW w:type="dxa" w:w="4320"/>
          </w:tcPr>
          <w:p>
            <w:r>
              <w:t>Record</w:t>
            </w:r>
          </w:p>
        </w:tc>
        <w:tc>
          <w:tcPr>
            <w:tcW w:type="dxa" w:w="4320"/>
          </w:tcPr>
          <w:p>
            <w:r>
              <w:t>Memo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