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i w:val="false"/>
          <w:iCs w:val="false"/>
          <w:sz w:val="32"/>
          <w:szCs w:val="32"/>
        </w:rPr>
        <w:t xml:space="preserve">CLIMATE FINANCE MECHANISMS AND THEIR ROLE IN SUSTAINABLE DEVELOPMENT AND JUSTICE</w:t>
      </w:r>
    </w:p>
    <w:p>
      <w:pPr>
        <w:spacing w:after="120" w:line="360"/>
        <w:jc w:val="both"/>
      </w:pPr>
      <w:r>
        <w:rPr>
          <w:rFonts w:ascii="Times New Roman" w:cs="Times New Roman" w:eastAsia="Times New Roman" w:hAnsi="Times New Roman"/>
          <w:b w:val="false"/>
          <w:bCs w:val="false"/>
          <w:i w:val="false"/>
          <w:iCs w:val="false"/>
          <w:sz w:val="24"/>
          <w:szCs w:val="24"/>
        </w:rPr>
        <w:t xml:space="preserve">Mohammed Firdos Sheikh</w:t>
      </w:r>
    </w:p>
    <w:p>
      <w:pPr>
        <w:spacing w:after="120" w:line="360"/>
        <w:jc w:val="both"/>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120" w:line="360"/>
        <w:jc w:val="center"/>
      </w:pPr>
      <w:r>
        <w:rPr>
          <w:rFonts w:ascii="Times New Roman" w:cs="Times New Roman" w:eastAsia="Times New Roman" w:hAnsi="Times New Roman"/>
          <w:b w:val="false"/>
          <w:bCs w:val="false"/>
          <w:i w:val="false"/>
          <w:iCs w:val="false"/>
          <w:sz w:val="26"/>
          <w:szCs w:val="26"/>
        </w:rPr>
        <w:t xml:space="preserve">Poornima University, Jaipur, Rajasthan, India – 302022</w:t>
      </w:r>
    </w:p>
    <w:p>
      <w:pPr>
        <w:spacing w:after="120" w:line="360"/>
        <w:jc w:val="center"/>
      </w:pPr>
      <w:r>
        <w:rPr>
          <w:rFonts w:ascii="Times New Roman" w:cs="Times New Roman" w:eastAsia="Times New Roman" w:hAnsi="Times New Roman"/>
          <w:b w:val="false"/>
          <w:bCs w:val="false"/>
          <w:i w:val="false"/>
          <w:iCs w:val="false"/>
          <w:sz w:val="26"/>
          <w:szCs w:val="26"/>
        </w:rPr>
        <w:t xml:space="preserve">Email: firdos.sheikh@poornima.edu.in</w:t>
      </w:r>
    </w:p>
    <w:p>
      <w:pPr>
        <w:spacing w:after="120" w:line="360"/>
        <w:jc w:val="both"/>
      </w:pPr>
      <w:r>
        <w:rPr>
          <w:rFonts w:ascii="Times New Roman" w:cs="Times New Roman" w:eastAsia="Times New Roman" w:hAnsi="Times New Roman"/>
          <w:b/>
          <w:bCs/>
          <w:i w:val="false"/>
          <w:iCs w:val="false"/>
          <w:sz w:val="24"/>
          <w:szCs w:val="24"/>
        </w:rPr>
        <w:t xml:space="preserve">Abstract</w:t>
      </w:r>
    </w:p>
    <w:p>
      <w:pPr>
        <w:spacing w:after="120" w:line="360"/>
        <w:jc w:val="both"/>
      </w:pPr>
      <w:r>
        <w:rPr>
          <w:rFonts w:ascii="Times New Roman" w:cs="Times New Roman" w:eastAsia="Times New Roman" w:hAnsi="Times New Roman"/>
          <w:b w:val="false"/>
          <w:bCs w:val="false"/>
          <w:i w:val="false"/>
          <w:iCs w:val="false"/>
          <w:sz w:val="24"/>
          <w:szCs w:val="24"/>
        </w:rPr>
        <w:t xml:space="preserve">At the nexus of development economics, geopolitical diplomacy, and ecological urgency, climate financing has become one of the most contentious and significant areas of global environmental governance. Even with the mobilization of substantial capital flows through bilateral aid mechanisms, the Green Climate Fund, multilateral development banks, and increasingly volatile carbon markets, there is still a structural disparity between the amount of funding that reaches vulnerable countries in the Global South and the amount of adaptation and mitigation investment that their climate exposure requires. The architecture of current climate finance mechanisms is examined in this chapter using a justice-oriented analytical lens. The performance of public, private, blended, and market-based instruments is examined in relation to the dual imperatives of climate fairness and sustainable development.Using case studies from the shift to renewable energy in India, the lack of adaptability in sub-Saharan Africa, and the existential dilemma of Small Island The chapter shows how current finance architectures in developing nations routinely give preference to bankable mitigation projects in middle-income economies above adaptation requirements in low-income and extremely vulnerable circumstances. The chapter also lists structural obstacles that prevent the most vulnerable nations from gaining access, such as onerous conditionality, currency risk, debt sustainability issues, and institutional capacity deficiencies. The chapter concludes with a reform plan based on justice principles, arguing that grant-based adaptation funding should be given priority, access procedures should be made simpler, illegitimate climate debts should be cancelled, and the voices of impacted people should be central to governance choices.</w:t>
      </w:r>
    </w:p>
    <w:p>
      <w:pPr>
        <w:spacing w:after="120" w:line="360"/>
        <w:jc w:val="both"/>
      </w:pPr>
      <w:r>
        <w:rPr>
          <w:rFonts w:ascii="Times New Roman" w:cs="Times New Roman" w:eastAsia="Times New Roman" w:hAnsi="Times New Roman"/>
          <w:b w:val="false"/>
          <w:bCs w:val="false"/>
          <w:i w:val="false"/>
          <w:iCs w:val="false"/>
          <w:sz w:val="24"/>
          <w:szCs w:val="24"/>
        </w:rPr>
        <w:t xml:space="preserve">Keywords: Climate finance; Climate justice; Global South; Green Climate Fund; Adaptation finance; Blended finance; Carbon markets; Sustainable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1  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There is no coincidence or proportional relationship between global inequality and climate change. The countries with the lowest cumulative greenhouse gas emissions, which are primarily found in Africa, South and Southeast Asia, Latin America, and the Pacific, bear a disproportionate share of the consequences of climate change, from worsening storms and droughts to rising seas and shifting agricultural seasons. This fundamental injustice lies at the core of international climate negotiations, making discussions about who should pay for transition and adaptation more pressing. Because of this, climate finance—generally defined as the flow of funds meant to reduce greenhouse gas emissions and boost climate change resilience—has attained political relevance that far outweighs its technical features [1].</w:t>
      </w:r>
    </w:p>
    <w:p>
      <w:pPr>
        <w:spacing w:after="120" w:line="360"/>
        <w:jc w:val="both"/>
      </w:pPr>
      <w:r>
        <w:rPr>
          <w:rFonts w:ascii="Times New Roman" w:cs="Times New Roman" w:eastAsia="Times New Roman" w:hAnsi="Times New Roman"/>
          <w:b w:val="false"/>
          <w:bCs w:val="false"/>
          <w:i w:val="false"/>
          <w:iCs w:val="false"/>
          <w:sz w:val="24"/>
          <w:szCs w:val="24"/>
        </w:rPr>
        <w:t xml:space="preserve">At the very least, wealthy countries' historic commitment at the 2009 Copenhagen Accord to generate USD 100 billion annually for developing countries by 2020 was a symbolic acknowledgement of this disparity. That promise, however, was not kept in a timely manner or in a way that adequately addressed the needs of the most vulnerable [2]. The establishment of a Loss and Damage fund during COP27 in Sharm el-Sheikh and the Bridgetown Initiative, spearheaded by Prime Minister Mia Mottley of Barbados beginning in 2022, demonstrated a growing discontent among Global South nations with the inadequacies of existing arrangements and a growing demand for structural reform of the international financial architecture [3].</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offers a critical analysis of the main climate finance options accessible to Global South nations, evaluating their distributional results, design logic, and conformity to climate justice ideals. It is set up as follows: The conceptual framework that connects climate finance to sustainable development and climate justice is established in Section 2. The main categories of climate finance instruments are reviewed in Section 3. Through case studies of India, sub-Saharan Africa, and Small Island Developing States, Section 4 examines important application scenarios. The systemic obstacles that prevent efficient access and deployment are diagnosed in Section 5. A normative reform plan based on equality principles is advanced in Section 6. Section 7 comes to an end.</w:t>
      </w:r>
    </w:p>
    <w:p>
      <w:pPr>
        <w:spacing w:after="120" w:line="360"/>
        <w:jc w:val="both"/>
      </w:pPr>
      <w:r>
        <w:rPr>
          <w:rFonts w:ascii="Times New Roman" w:cs="Times New Roman" w:eastAsia="Times New Roman" w:hAnsi="Times New Roman"/>
          <w:b w:val="false"/>
          <w:bCs w:val="false"/>
          <w:i w:val="false"/>
          <w:iCs w:val="false"/>
          <w:sz w:val="24"/>
          <w:szCs w:val="24"/>
        </w:rPr>
        <w:t xml:space="preserve">2  Conceptual Framework: Climate Finance, Sustainable Development, and Justice</w:t>
      </w:r>
    </w:p>
    <w:p>
      <w:pPr>
        <w:spacing w:after="120" w:line="360"/>
        <w:jc w:val="both"/>
      </w:pPr>
      <w:r>
        <w:rPr>
          <w:rFonts w:ascii="Times New Roman" w:cs="Times New Roman" w:eastAsia="Times New Roman" w:hAnsi="Times New Roman"/>
          <w:b/>
          <w:bCs/>
          <w:i w:val="false"/>
          <w:iCs w:val="false"/>
          <w:sz w:val="28"/>
          <w:szCs w:val="28"/>
        </w:rPr>
        <w:t xml:space="preserve">2.1  DEFINING CLIMATE FINANCE IN THE GLOBAL SOUTH CONTEXT</w:t>
      </w:r>
    </w:p>
    <w:p>
      <w:pPr>
        <w:spacing w:after="120" w:line="360"/>
        <w:jc w:val="both"/>
      </w:pPr>
      <w:r>
        <w:rPr>
          <w:rFonts w:ascii="Times New Roman" w:cs="Times New Roman" w:eastAsia="Times New Roman" w:hAnsi="Times New Roman"/>
          <w:b w:val="false"/>
          <w:bCs w:val="false"/>
          <w:i w:val="false"/>
          <w:iCs w:val="false"/>
          <w:sz w:val="24"/>
          <w:szCs w:val="24"/>
        </w:rPr>
        <w:t xml:space="preserve">The phrase "climate finance" is controversial and refers to a wide range of financial flows, tools, and organizations. In its broadest sense, the UNFCCC refers to all financial resources aimed at adaptation and mitigation, regardless of whether they come from public or private sources, pass through bilateral or multilateral channels, or take the shape of grants, risk guarantees, concessional loans, or equity investments [4]. While many recipient nations and civil society organizations contend that only grant-equivalent public flows represent true climate finance rather than commercially motivated investment, developed country governments have counted private finance mobilized through their public interventions toward the USD 100 billion goal [5].</w:t>
      </w:r>
    </w:p>
    <w:p>
      <w:pPr>
        <w:spacing w:after="120" w:line="360"/>
        <w:jc w:val="both"/>
      </w:pPr>
      <w:r>
        <w:rPr>
          <w:rFonts w:ascii="Times New Roman" w:cs="Times New Roman" w:eastAsia="Times New Roman" w:hAnsi="Times New Roman"/>
          <w:b w:val="false"/>
          <w:bCs w:val="false"/>
          <w:i w:val="false"/>
          <w:iCs w:val="false"/>
          <w:sz w:val="24"/>
          <w:szCs w:val="24"/>
        </w:rPr>
        <w:t xml:space="preserve">For the Global South, this distinction is vital. A concessional loan for a solar energy project to a middle-income country raises that country's foreign debt stock, even if the interest rate is lower than market. A low-income country's coastal flood defense subsidy does not. As climate vulnerabilities worsen and sovereign debt levels in many developing countries reach crisis levels—partly due to COVID-19 and energy price shocks—the terms, conditions, and repayment obligations associated with climate finance have become issues of political economy as much as environmental policy [6].</w:t>
      </w:r>
    </w:p>
    <w:p>
      <w:pPr>
        <w:spacing w:after="120" w:line="360"/>
        <w:jc w:val="both"/>
      </w:pPr>
      <w:r>
        <w:rPr>
          <w:rFonts w:ascii="Times New Roman" w:cs="Times New Roman" w:eastAsia="Times New Roman" w:hAnsi="Times New Roman"/>
          <w:b/>
          <w:bCs/>
          <w:i w:val="false"/>
          <w:iCs w:val="false"/>
          <w:sz w:val="28"/>
          <w:szCs w:val="28"/>
        </w:rPr>
        <w:t xml:space="preserve">2.2  CLIMATE JUSTICE: ANALYTICAL DIMENSIONS</w:t>
      </w:r>
    </w:p>
    <w:p>
      <w:pPr>
        <w:spacing w:after="120" w:line="360"/>
        <w:jc w:val="both"/>
      </w:pPr>
      <w:r>
        <w:rPr>
          <w:rFonts w:ascii="Times New Roman" w:cs="Times New Roman" w:eastAsia="Times New Roman" w:hAnsi="Times New Roman"/>
          <w:b w:val="false"/>
          <w:bCs w:val="false"/>
          <w:i w:val="false"/>
          <w:iCs w:val="false"/>
          <w:sz w:val="24"/>
          <w:szCs w:val="24"/>
        </w:rPr>
        <w:t xml:space="preserve">The concept of climate justice incorporates three analytically distinct but related features: distributive justice, procedural justice, and recognition justice [7]. This translates into concerns about whether the allocation of financial flows in the context of climate financing takes historical accountability for emissions, present vulnerability, and developmental need into account. The fair allocation of the costs and rewards of climate action is known as distributive justice.</w:t>
      </w:r>
    </w:p>
    <w:p>
      <w:pPr>
        <w:spacing w:after="120" w:line="360"/>
        <w:jc w:val="both"/>
      </w:pPr>
      <w:r>
        <w:rPr>
          <w:rFonts w:ascii="Times New Roman" w:cs="Times New Roman" w:eastAsia="Times New Roman" w:hAnsi="Times New Roman"/>
          <w:b w:val="false"/>
          <w:bCs w:val="false"/>
          <w:i w:val="false"/>
          <w:iCs w:val="false"/>
          <w:sz w:val="24"/>
          <w:szCs w:val="24"/>
        </w:rPr>
        <w:t xml:space="preserve">Whether Global South nations, communities, and civil society organizations have a significant say in the creation, administration, and assessment of climate finance instruments is one aspect of procedural justice.Recognition justice mandates that impacted peoples' knowledge systems, values, and priorities be truly integrated into climate governance rather than being mediated through institutional templates from the North. This is the least operationalized of the three dimensions in policy practice.</w:t>
      </w:r>
    </w:p>
    <w:p>
      <w:pPr>
        <w:spacing w:after="120" w:line="360"/>
        <w:jc w:val="both"/>
      </w:pPr>
      <w:r>
        <w:rPr>
          <w:rFonts w:ascii="Times New Roman" w:cs="Times New Roman" w:eastAsia="Times New Roman" w:hAnsi="Times New Roman"/>
          <w:b w:val="false"/>
          <w:bCs w:val="false"/>
          <w:i w:val="false"/>
          <w:iCs w:val="false"/>
          <w:sz w:val="24"/>
          <w:szCs w:val="24"/>
        </w:rPr>
        <w:t xml:space="preserve">These three elements can be used as a critical lens to evaluate the architecture of climate financing. As this chapter demonstrates, existing mechanisms frequently perform poorly on all three dimensions: they tend to concentrate resources in middle-income countries with stronger institutional capacity; they are controlled by institutions whose voting structures reflect the economic weight of contributors rather than the vulnerability of recipients; and they mostly fail to engage with the indigenous and local knowledge systems that are essential to context-appropriate adaptation planning [8].</w:t>
      </w:r>
    </w:p>
    <w:p>
      <w:pPr>
        <w:spacing w:after="120" w:line="360"/>
        <w:jc w:val="both"/>
      </w:pPr>
      <w:r>
        <w:rPr>
          <w:rFonts w:ascii="Times New Roman" w:cs="Times New Roman" w:eastAsia="Times New Roman" w:hAnsi="Times New Roman"/>
          <w:b/>
          <w:bCs/>
          <w:i w:val="false"/>
          <w:iCs w:val="false"/>
          <w:sz w:val="28"/>
          <w:szCs w:val="28"/>
        </w:rPr>
        <w:t xml:space="preserve">2.3  LINKAGES TO THE 2030 AGENDA AND THE PARIS AGREEMENT</w:t>
      </w:r>
    </w:p>
    <w:p>
      <w:pPr>
        <w:spacing w:after="120" w:line="360"/>
        <w:jc w:val="both"/>
      </w:pPr>
      <w:r>
        <w:rPr>
          <w:rFonts w:ascii="Times New Roman" w:cs="Times New Roman" w:eastAsia="Times New Roman" w:hAnsi="Times New Roman"/>
          <w:b w:val="false"/>
          <w:bCs w:val="false"/>
          <w:i w:val="false"/>
          <w:iCs w:val="false"/>
          <w:sz w:val="24"/>
          <w:szCs w:val="24"/>
        </w:rPr>
        <w:t xml:space="preserve">The normative framework that governs climate finance is made up of the Paris Agreement and the Sustainable Development Goals (SDGs). While several other SDGs—on poverty (SDG 1), food security (SDG 2), health (SDG 3), clean energy (SDG 7), and reduced inequality (SDG 10)—are closely linked to climate vulnerability and the sufficiency of adaptation finance, SDG 13 (Climate Action) and SDG 17 (Partnerships for the Goals) directly address climate finance [9]. For its part, the Paris Agreement defines the long-term objective of keeping warming to 1.5°C over pre-industrial levels and adopts the idea of "making financing flows commensurate with a pathway towards low greenhouse gas emissions and climate-resilient development" [10].</w:t>
      </w:r>
    </w:p>
    <w:p>
      <w:pPr>
        <w:spacing w:after="120" w:line="360"/>
        <w:jc w:val="both"/>
      </w:pPr>
      <w:r>
        <w:rPr>
          <w:rFonts w:ascii="Times New Roman" w:cs="Times New Roman" w:eastAsia="Times New Roman" w:hAnsi="Times New Roman"/>
          <w:b w:val="false"/>
          <w:bCs w:val="false"/>
          <w:i w:val="false"/>
          <w:iCs w:val="false"/>
          <w:sz w:val="24"/>
          <w:szCs w:val="24"/>
        </w:rPr>
        <w:t xml:space="preserve">However, the Green Climate Fund (GCF), the Global Environment Facility (GEF), multilateral development banks, and bilateral aid organizations dominated the institutional architecture developed to operationalize these promises, which was largely built before the scope of the problem was recognized. According to the Intergovernmental Panel on Climate Change's (IPCC) Sixth Assessment Report, annual climate investments in developing nations would need to be between USD 1.6 trillion and USD 3.8 trillion through 2030 in order to keep temperature below 1.5°C, an order of magnitude more than present flows [11]. Rethinking the underlying design rationale of current systems is necessary to close this gap, rather than just scaling them up.</w:t>
      </w:r>
    </w:p>
    <w:p>
      <w:pPr>
        <w:spacing w:after="120" w:line="360"/>
        <w:jc w:val="both"/>
      </w:pPr>
      <w:r>
        <w:rPr>
          <w:rFonts w:ascii="Times New Roman" w:cs="Times New Roman" w:eastAsia="Times New Roman" w:hAnsi="Times New Roman"/>
          <w:b w:val="false"/>
          <w:bCs w:val="false"/>
          <w:i w:val="false"/>
          <w:iCs w:val="false"/>
          <w:sz w:val="24"/>
          <w:szCs w:val="24"/>
        </w:rPr>
        <w:t xml:space="preserve">3  Climate Finance Mechanisms: Architecture, Flows, and Limitations</w:t>
      </w:r>
    </w:p>
    <w:p>
      <w:pPr>
        <w:spacing w:after="120" w:line="360"/>
        <w:jc w:val="both"/>
      </w:pPr>
      <w:r>
        <w:rPr>
          <w:rFonts w:ascii="Times New Roman" w:cs="Times New Roman" w:eastAsia="Times New Roman" w:hAnsi="Times New Roman"/>
          <w:b/>
          <w:bCs/>
          <w:i w:val="false"/>
          <w:iCs w:val="false"/>
          <w:sz w:val="28"/>
          <w:szCs w:val="28"/>
        </w:rPr>
        <w:t xml:space="preserve">3.1  PUBLIC FINANCE: MULTILATERAL AND BILATERAL CHANNELS</w:t>
      </w:r>
    </w:p>
    <w:p>
      <w:pPr>
        <w:spacing w:after="120" w:line="360"/>
        <w:jc w:val="both"/>
      </w:pPr>
      <w:r>
        <w:rPr>
          <w:rFonts w:ascii="Times New Roman" w:cs="Times New Roman" w:eastAsia="Times New Roman" w:hAnsi="Times New Roman"/>
          <w:b w:val="false"/>
          <w:bCs w:val="false"/>
          <w:i w:val="false"/>
          <w:iCs w:val="false"/>
          <w:sz w:val="24"/>
          <w:szCs w:val="24"/>
        </w:rPr>
        <w:t xml:space="preserve">The foundation of climate support for the Global South is public funding, which provides grant-based and concessional flows that private capital cannot or will not replace. The Green Climate Fund, created at COP16 in Cancún and operationalized by 2015, is the cornerstone of the global environment. Its goal is to allocate USD 100 billion a year to developing nations and split its portfolio equally between mitigation and adaptation. The GCF will have approved projects totaling more than USD 13.5 billion in 128 countries by 2023, which is a substantial but still negligible contribution in relation to need [12].</w:t>
      </w:r>
    </w:p>
    <w:p>
      <w:pPr>
        <w:spacing w:after="120" w:line="360"/>
        <w:jc w:val="both"/>
      </w:pPr>
      <w:r>
        <w:rPr>
          <w:rFonts w:ascii="Times New Roman" w:cs="Times New Roman" w:eastAsia="Times New Roman" w:hAnsi="Times New Roman"/>
          <w:b w:val="false"/>
          <w:bCs w:val="false"/>
          <w:i w:val="false"/>
          <w:iCs w:val="false"/>
          <w:sz w:val="24"/>
          <w:szCs w:val="24"/>
        </w:rPr>
        <w:t xml:space="preserve">The GEF is an older organization with a broader scope that transfers resources from rich to poor nations for global environmental benefits related to chemicals, land degradation, biodiversity, and climate change. The World Bank's Climate Investment Funds (CIFs) include focused initiatives like the Clean Technology Fund (CTF) and the Pilot Program for Climate Resilience (PPCR), which have aided in the expansion of renewable energy in nations including South Africa, Morocco, and Mexico. Although it makes up a larger portion of all reported flows, bilateral climate finance—provided through development finance organizations like the UK's British International Investment, Germany's KfW, and France's Agence Française de Développement—is subject to significant definitional flexibility regarding what constitutes "climate-tagged" finance [13].</w:t>
      </w:r>
    </w:p>
    <w:p>
      <w:pPr>
        <w:spacing w:after="120" w:line="360"/>
        <w:jc w:val="both"/>
      </w:pPr>
      <w:r>
        <w:rPr>
          <w:rFonts w:ascii="Times New Roman" w:cs="Times New Roman" w:eastAsia="Times New Roman" w:hAnsi="Times New Roman"/>
          <w:b w:val="false"/>
          <w:bCs w:val="false"/>
          <w:i w:val="false"/>
          <w:iCs w:val="false"/>
          <w:sz w:val="24"/>
          <w:szCs w:val="24"/>
        </w:rPr>
        <w:t xml:space="preserve">The fact that public climate finance disproportionately goes toward mitigation rather than adaptation and toward middle-income nations with greater absorptive capacity rather than low-income nations with greater climate vulnerability is a recurring structural criticism. Less than 10% of all climate-related development finance from bilateral providers is consistently represented by adaptation finance, according to data from the OECD's Development Assistance Committee. This percentage reflects both the relative difficulty of measuring the returns on resilience investment and the greater bankability of mitigation projects, which generate revenue streams from energy sales or carbon credits [14].</w:t>
      </w:r>
    </w:p>
    <w:p>
      <w:pPr>
        <w:spacing w:after="120" w:line="360"/>
        <w:jc w:val="both"/>
      </w:pPr>
      <w:r>
        <w:rPr>
          <w:rFonts w:ascii="Times New Roman" w:cs="Times New Roman" w:eastAsia="Times New Roman" w:hAnsi="Times New Roman"/>
          <w:b/>
          <w:bCs/>
          <w:i w:val="false"/>
          <w:iCs w:val="false"/>
          <w:sz w:val="28"/>
          <w:szCs w:val="28"/>
        </w:rPr>
        <w:t xml:space="preserve">3.2  PRIVATE CLIMATE FINANCE AND ITS STRUCTURAL LIMITATIONS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mobilization of private funding for climate action in developing nations has emerged as a major focus of global climate policy, based on the intuition that the amount of investment needed is far greater than what public budgets can supply. In order to change the risk-return profile of clean energy investments in frontier markets to levels acceptable to institutional investors, multilateral development banks and development finance organizations have increased their use of "de-risking" tools, such as guarantees, first-loss provisions, technical assistance, and currency hedging facilities [15].</w:t>
      </w:r>
    </w:p>
    <w:p>
      <w:pPr>
        <w:spacing w:after="120" w:line="360"/>
        <w:jc w:val="both"/>
      </w:pPr>
      <w:r>
        <w:rPr>
          <w:rFonts w:ascii="Times New Roman" w:cs="Times New Roman" w:eastAsia="Times New Roman" w:hAnsi="Times New Roman"/>
          <w:b w:val="false"/>
          <w:bCs w:val="false"/>
          <w:i w:val="false"/>
          <w:iCs w:val="false"/>
          <w:sz w:val="24"/>
          <w:szCs w:val="24"/>
        </w:rPr>
        <w:t xml:space="preserve">At best, the outcomes have been inconsistent. Despite having some of the world's largest endowments of renewable resources and the greatest adaptation needs, Sub-Saharan Africa received less than 3% of global tracked private climate finance in 2020–2021, according to data from the Climate Policy Initiative [16]. The obstacles are structural rather than incidental: the risk-adjusted returns on private climate investment in the Global South are significantly less appealing than in developed or large middle-income economies due to political risk perceptions, currency volatility, small project sizes, a lack of depth in the local capital market, and limited local financial sector capacity. The public-good nature of climate resilience and the profit-seeking logic of private capital are fundamentally at odds, and de-risking tools can change some of these parameters at the margin [17].</w:t>
      </w:r>
    </w:p>
    <w:p>
      <w:pPr>
        <w:spacing w:after="120" w:line="360"/>
        <w:jc w:val="both"/>
      </w:pPr>
      <w:r>
        <w:rPr>
          <w:rFonts w:ascii="Times New Roman" w:cs="Times New Roman" w:eastAsia="Times New Roman" w:hAnsi="Times New Roman"/>
          <w:b/>
          <w:bCs/>
          <w:i w:val="false"/>
          <w:iCs w:val="false"/>
          <w:sz w:val="28"/>
          <w:szCs w:val="28"/>
        </w:rPr>
        <w:t xml:space="preserve">3.3  BLENDED FINANCE: PROMISE AND PITFALLS</w:t>
      </w:r>
    </w:p>
    <w:p>
      <w:pPr>
        <w:spacing w:after="120" w:line="360"/>
        <w:jc w:val="both"/>
      </w:pPr>
      <w:r>
        <w:rPr>
          <w:rFonts w:ascii="Times New Roman" w:cs="Times New Roman" w:eastAsia="Times New Roman" w:hAnsi="Times New Roman"/>
          <w:b w:val="false"/>
          <w:bCs w:val="false"/>
          <w:i w:val="false"/>
          <w:iCs w:val="false"/>
          <w:sz w:val="24"/>
          <w:szCs w:val="24"/>
        </w:rPr>
        <w:t xml:space="preserve">As a potential bridge between the size of private capital and the depth of development need, blended finance—the strategic use of concessional public money to leverage commercial private investment in developing nation climate projects—has generated a great deal of policy enthusiasm. Co-investment facilities, subordinated debt tranches, and technical assistance grants are examples of mechanisms intended to enhance a project's creditworthiness and lower the perceived risk for private investors [18].</w:t>
      </w:r>
    </w:p>
    <w:p>
      <w:pPr>
        <w:spacing w:after="120" w:line="360"/>
        <w:jc w:val="both"/>
      </w:pPr>
      <w:r>
        <w:rPr>
          <w:rFonts w:ascii="Times New Roman" w:cs="Times New Roman" w:eastAsia="Times New Roman" w:hAnsi="Times New Roman"/>
          <w:b w:val="false"/>
          <w:bCs w:val="false"/>
          <w:i w:val="false"/>
          <w:iCs w:val="false"/>
          <w:sz w:val="24"/>
          <w:szCs w:val="24"/>
        </w:rPr>
        <w:t xml:space="preserve">However, in reality, blended finance has been challenging to expand in the nations that most need it. The median blended finance transaction mobilizes roughly USD 0.74 of private capital for every USD 1 of state concessional capital deployed in low-income countries, according to a systematic assessment by Convergence Finance [19]. This ratio is significantly lower than what is possible in middle-income markets. Furthermore, private investors have a disproportionate amount of influence over project selection, which favors financially viable urban and peri-urban infrastructure over adaptation at the rural and community levels. The governance of blended finance facilities is sometimes opaque. Presenting commercially motivated investments as concessional development contributions is a serious and established risk of "impact washing" [20].</w:t>
      </w:r>
    </w:p>
    <w:p>
      <w:pPr>
        <w:spacing w:after="120" w:line="360"/>
        <w:jc w:val="both"/>
      </w:pPr>
      <w:r>
        <w:rPr>
          <w:rFonts w:ascii="Times New Roman" w:cs="Times New Roman" w:eastAsia="Times New Roman" w:hAnsi="Times New Roman"/>
          <w:b/>
          <w:bCs/>
          <w:i w:val="false"/>
          <w:iCs w:val="false"/>
          <w:sz w:val="28"/>
          <w:szCs w:val="28"/>
        </w:rPr>
        <w:t xml:space="preserve">3.4  CARBON MARKETS: MECHANISMS, CONTROVERSIES, AND REFORM PROSPECTS</w:t>
      </w:r>
    </w:p>
    <w:p>
      <w:pPr>
        <w:spacing w:after="120" w:line="360"/>
        <w:jc w:val="both"/>
      </w:pPr>
      <w:r>
        <w:rPr>
          <w:rFonts w:ascii="Times New Roman" w:cs="Times New Roman" w:eastAsia="Times New Roman" w:hAnsi="Times New Roman"/>
          <w:b w:val="false"/>
          <w:bCs w:val="false"/>
          <w:i w:val="false"/>
          <w:iCs w:val="false"/>
          <w:sz w:val="24"/>
          <w:szCs w:val="24"/>
        </w:rPr>
        <w:t xml:space="preserve">One of the most contentious areas of climate financing are carbon markets, which put a price on greenhouse gas emissions and permit the exchange of emission reduction credits. The Clean Development Mechanism (CDM) of the Kyoto Protocol allowed industrialized nations to offset their own emissions by purchasing certified emission reductions (CERs) from projects in developing nations. The CDM led to significant investment flows in some developing countries, particularly China, India, and Brazil. However, concerns about additionality (whether reductions were truly additional to business-as-usual), permanence (whether carbon stored in forestry projects would persist), and benefit-sharing with local communities persisted [21].</w:t>
      </w:r>
    </w:p>
    <w:p>
      <w:pPr>
        <w:spacing w:after="120" w:line="360"/>
        <w:jc w:val="both"/>
      </w:pPr>
      <w:r>
        <w:rPr>
          <w:rFonts w:ascii="Times New Roman" w:cs="Times New Roman" w:eastAsia="Times New Roman" w:hAnsi="Times New Roman"/>
          <w:b w:val="false"/>
          <w:bCs w:val="false"/>
          <w:i w:val="false"/>
          <w:iCs w:val="false"/>
          <w:sz w:val="24"/>
          <w:szCs w:val="24"/>
        </w:rPr>
        <w:t xml:space="preserve">Future carbon market mechanisms, such as bilateral Article 6.2 agreements between nations and a multilateral Article 6.4 Sustainable Development Mechanism, are based on Article 6 of the Paris Agreement.</w:t>
      </w:r>
    </w:p>
    <w:p>
      <w:pPr>
        <w:spacing w:after="120" w:line="360"/>
        <w:jc w:val="both"/>
      </w:pPr>
      <w:r>
        <w:rPr>
          <w:rFonts w:ascii="Times New Roman" w:cs="Times New Roman" w:eastAsia="Times New Roman" w:hAnsi="Times New Roman"/>
          <w:b w:val="false"/>
          <w:bCs w:val="false"/>
          <w:i w:val="false"/>
          <w:iCs w:val="false"/>
          <w:sz w:val="24"/>
          <w:szCs w:val="24"/>
        </w:rPr>
        <w:t xml:space="preserve">Subsequent COP negotiations have revealed glaring disparities between developed and poor countries over how to preserve environmental integrity, avoid double counting of emission reductions, and guarantee substantial benefits for host people. Regarding these processes, there is still a lot of dispute. The primary worry of many Global South countries is that carbon markets will enable wealthy nations to buy offsets instead of lowering their own emissions, while the development benefits to the inhabitants of the host country are still negligible and poorly tracked [22].</w:t>
      </w:r>
    </w:p>
    <w:p>
      <w:pPr>
        <w:spacing w:after="120" w:line="360"/>
        <w:jc w:val="both"/>
      </w:pPr>
      <w:r>
        <w:rPr>
          <w:rFonts w:ascii="Times New Roman" w:cs="Times New Roman" w:eastAsia="Times New Roman" w:hAnsi="Times New Roman"/>
          <w:b w:val="false"/>
          <w:bCs w:val="false"/>
          <w:i w:val="false"/>
          <w:iCs w:val="false"/>
          <w:sz w:val="24"/>
          <w:szCs w:val="24"/>
        </w:rPr>
        <w:t xml:space="preserve">Finance Mechanism</w:t>
      </w:r>
    </w:p>
    <w:p>
      <w:pPr>
        <w:spacing w:after="120" w:line="360"/>
        <w:jc w:val="both"/>
      </w:pPr>
      <w:r>
        <w:rPr>
          <w:rFonts w:ascii="Times New Roman" w:cs="Times New Roman" w:eastAsia="Times New Roman" w:hAnsi="Times New Roman"/>
          <w:b w:val="false"/>
          <w:bCs w:val="false"/>
          <w:i w:val="false"/>
          <w:iCs w:val="false"/>
          <w:sz w:val="24"/>
          <w:szCs w:val="24"/>
        </w:rPr>
        <w:t xml:space="preserve">Primary Channel</w:t>
      </w:r>
    </w:p>
    <w:p>
      <w:pPr>
        <w:spacing w:after="120" w:line="360"/>
        <w:jc w:val="both"/>
      </w:pPr>
      <w:r>
        <w:rPr>
          <w:rFonts w:ascii="Times New Roman" w:cs="Times New Roman" w:eastAsia="Times New Roman" w:hAnsi="Times New Roman"/>
          <w:b w:val="false"/>
          <w:bCs w:val="false"/>
          <w:i w:val="false"/>
          <w:iCs w:val="false"/>
          <w:sz w:val="24"/>
          <w:szCs w:val="24"/>
        </w:rPr>
        <w:t xml:space="preserve">Typical Instrument</w:t>
      </w:r>
    </w:p>
    <w:p>
      <w:pPr>
        <w:spacing w:after="120" w:line="360"/>
        <w:jc w:val="both"/>
      </w:pPr>
      <w:r>
        <w:rPr>
          <w:rFonts w:ascii="Times New Roman" w:cs="Times New Roman" w:eastAsia="Times New Roman" w:hAnsi="Times New Roman"/>
          <w:b w:val="false"/>
          <w:bCs w:val="false"/>
          <w:i w:val="false"/>
          <w:iCs w:val="false"/>
          <w:sz w:val="24"/>
          <w:szCs w:val="24"/>
        </w:rPr>
        <w:t xml:space="preserve">Mitigation/Adaptation Focus</w:t>
      </w:r>
    </w:p>
    <w:p>
      <w:pPr>
        <w:spacing w:after="120" w:line="360"/>
        <w:jc w:val="both"/>
      </w:pPr>
      <w:r>
        <w:rPr>
          <w:rFonts w:ascii="Times New Roman" w:cs="Times New Roman" w:eastAsia="Times New Roman" w:hAnsi="Times New Roman"/>
          <w:b w:val="false"/>
          <w:bCs w:val="false"/>
          <w:i w:val="false"/>
          <w:iCs w:val="false"/>
          <w:sz w:val="24"/>
          <w:szCs w:val="24"/>
        </w:rPr>
        <w:t xml:space="preserve">LIC Coverage</w:t>
      </w:r>
    </w:p>
    <w:p>
      <w:pPr>
        <w:spacing w:after="120" w:line="360"/>
        <w:jc w:val="both"/>
      </w:pPr>
      <w:r>
        <w:rPr>
          <w:rFonts w:ascii="Times New Roman" w:cs="Times New Roman" w:eastAsia="Times New Roman" w:hAnsi="Times New Roman"/>
          <w:b w:val="false"/>
          <w:bCs w:val="false"/>
          <w:i w:val="false"/>
          <w:iCs w:val="false"/>
          <w:sz w:val="24"/>
          <w:szCs w:val="24"/>
        </w:rPr>
        <w:t xml:space="preserve">Key Limitations</w:t>
      </w:r>
    </w:p>
    <w:p>
      <w:pPr>
        <w:spacing w:after="120" w:line="360"/>
        <w:jc w:val="both"/>
      </w:pPr>
      <w:r>
        <w:rPr>
          <w:rFonts w:ascii="Times New Roman" w:cs="Times New Roman" w:eastAsia="Times New Roman" w:hAnsi="Times New Roman"/>
          <w:b w:val="false"/>
          <w:bCs w:val="false"/>
          <w:i w:val="false"/>
          <w:iCs w:val="false"/>
          <w:sz w:val="24"/>
          <w:szCs w:val="24"/>
        </w:rPr>
        <w:t xml:space="preserve">Green Climate Fund</w:t>
      </w:r>
    </w:p>
    <w:p>
      <w:pPr>
        <w:spacing w:after="120" w:line="360"/>
        <w:jc w:val="both"/>
      </w:pPr>
      <w:r>
        <w:rPr>
          <w:rFonts w:ascii="Times New Roman" w:cs="Times New Roman" w:eastAsia="Times New Roman" w:hAnsi="Times New Roman"/>
          <w:b w:val="false"/>
          <w:bCs w:val="false"/>
          <w:i w:val="false"/>
          <w:iCs w:val="false"/>
          <w:sz w:val="24"/>
          <w:szCs w:val="24"/>
        </w:rPr>
        <w:t xml:space="preserve">Multilateral</w:t>
      </w:r>
    </w:p>
    <w:p>
      <w:pPr>
        <w:spacing w:after="120" w:line="360"/>
        <w:jc w:val="both"/>
      </w:pPr>
      <w:r>
        <w:rPr>
          <w:rFonts w:ascii="Times New Roman" w:cs="Times New Roman" w:eastAsia="Times New Roman" w:hAnsi="Times New Roman"/>
          <w:b w:val="false"/>
          <w:bCs w:val="false"/>
          <w:i w:val="false"/>
          <w:iCs w:val="false"/>
          <w:sz w:val="24"/>
          <w:szCs w:val="24"/>
        </w:rPr>
        <w:t xml:space="preserve">Grants, concessional loans</w:t>
      </w:r>
    </w:p>
    <w:p>
      <w:pPr>
        <w:spacing w:after="120" w:line="360"/>
        <w:jc w:val="both"/>
      </w:pPr>
      <w:r>
        <w:rPr>
          <w:rFonts w:ascii="Times New Roman" w:cs="Times New Roman" w:eastAsia="Times New Roman" w:hAnsi="Times New Roman"/>
          <w:b w:val="false"/>
          <w:bCs w:val="false"/>
          <w:i w:val="false"/>
          <w:iCs w:val="false"/>
          <w:sz w:val="24"/>
          <w:szCs w:val="24"/>
        </w:rPr>
        <w:t xml:space="preserve">50/50 mandate (actual gap)</w:t>
      </w:r>
    </w:p>
    <w:p>
      <w:pPr>
        <w:spacing w:after="120" w:line="360"/>
        <w:jc w:val="both"/>
      </w:pPr>
      <w:r>
        <w:rPr>
          <w:rFonts w:ascii="Times New Roman" w:cs="Times New Roman" w:eastAsia="Times New Roman" w:hAnsi="Times New Roman"/>
          <w:b w:val="false"/>
          <w:bCs w:val="false"/>
          <w:i w:val="false"/>
          <w:iCs w:val="false"/>
          <w:sz w:val="24"/>
          <w:szCs w:val="24"/>
        </w:rPr>
        <w:t xml:space="preserve">Limited</w:t>
      </w:r>
    </w:p>
    <w:p>
      <w:pPr>
        <w:spacing w:after="120" w:line="360"/>
        <w:jc w:val="both"/>
      </w:pPr>
      <w:r>
        <w:rPr>
          <w:rFonts w:ascii="Times New Roman" w:cs="Times New Roman" w:eastAsia="Times New Roman" w:hAnsi="Times New Roman"/>
          <w:b w:val="false"/>
          <w:bCs w:val="false"/>
          <w:i w:val="false"/>
          <w:iCs w:val="false"/>
          <w:sz w:val="24"/>
          <w:szCs w:val="24"/>
        </w:rPr>
        <w:t xml:space="preserve">Access barriers, project pipeline capacity</w:t>
      </w:r>
    </w:p>
    <w:p>
      <w:pPr>
        <w:spacing w:after="120" w:line="360"/>
        <w:jc w:val="both"/>
      </w:pPr>
      <w:r>
        <w:rPr>
          <w:rFonts w:ascii="Times New Roman" w:cs="Times New Roman" w:eastAsia="Times New Roman" w:hAnsi="Times New Roman"/>
          <w:b w:val="false"/>
          <w:bCs w:val="false"/>
          <w:i w:val="false"/>
          <w:iCs w:val="false"/>
          <w:sz w:val="24"/>
          <w:szCs w:val="24"/>
        </w:rPr>
        <w:t xml:space="preserve">Bilateral ODA (climate-tagged)</w:t>
      </w:r>
    </w:p>
    <w:p>
      <w:pPr>
        <w:spacing w:after="120" w:line="360"/>
        <w:jc w:val="both"/>
      </w:pPr>
      <w:r>
        <w:rPr>
          <w:rFonts w:ascii="Times New Roman" w:cs="Times New Roman" w:eastAsia="Times New Roman" w:hAnsi="Times New Roman"/>
          <w:b w:val="false"/>
          <w:bCs w:val="false"/>
          <w:i w:val="false"/>
          <w:iCs w:val="false"/>
          <w:sz w:val="24"/>
          <w:szCs w:val="24"/>
        </w:rPr>
        <w:t xml:space="preserve">Bilateral</w:t>
      </w:r>
    </w:p>
    <w:p>
      <w:pPr>
        <w:spacing w:after="120" w:line="360"/>
        <w:jc w:val="both"/>
      </w:pPr>
      <w:r>
        <w:rPr>
          <w:rFonts w:ascii="Times New Roman" w:cs="Times New Roman" w:eastAsia="Times New Roman" w:hAnsi="Times New Roman"/>
          <w:b w:val="false"/>
          <w:bCs w:val="false"/>
          <w:i w:val="false"/>
          <w:iCs w:val="false"/>
          <w:sz w:val="24"/>
          <w:szCs w:val="24"/>
        </w:rPr>
        <w:t xml:space="preserve">Loans, grants, TA</w:t>
      </w:r>
    </w:p>
    <w:p>
      <w:pPr>
        <w:spacing w:after="120" w:line="360"/>
        <w:jc w:val="both"/>
      </w:pPr>
      <w:r>
        <w:rPr>
          <w:rFonts w:ascii="Times New Roman" w:cs="Times New Roman" w:eastAsia="Times New Roman" w:hAnsi="Times New Roman"/>
          <w:b w:val="false"/>
          <w:bCs w:val="false"/>
          <w:i w:val="false"/>
          <w:iCs w:val="false"/>
          <w:sz w:val="24"/>
          <w:szCs w:val="24"/>
        </w:rPr>
        <w:t xml:space="preserve">Predominantly mitigation</w:t>
      </w:r>
    </w:p>
    <w:p>
      <w:pPr>
        <w:spacing w:after="120" w:line="360"/>
        <w:jc w:val="both"/>
      </w:pPr>
      <w:r>
        <w:rPr>
          <w:rFonts w:ascii="Times New Roman" w:cs="Times New Roman" w:eastAsia="Times New Roman" w:hAnsi="Times New Roman"/>
          <w:b w:val="false"/>
          <w:bCs w:val="false"/>
          <w:i w:val="false"/>
          <w:iCs w:val="false"/>
          <w:sz w:val="24"/>
          <w:szCs w:val="24"/>
        </w:rPr>
        <w:t xml:space="preserve">Moderate</w:t>
      </w:r>
    </w:p>
    <w:p>
      <w:pPr>
        <w:spacing w:after="120" w:line="360"/>
        <w:jc w:val="both"/>
      </w:pPr>
      <w:r>
        <w:rPr>
          <w:rFonts w:ascii="Times New Roman" w:cs="Times New Roman" w:eastAsia="Times New Roman" w:hAnsi="Times New Roman"/>
          <w:b w:val="false"/>
          <w:bCs w:val="false"/>
          <w:i w:val="false"/>
          <w:iCs w:val="false"/>
          <w:sz w:val="24"/>
          <w:szCs w:val="24"/>
        </w:rPr>
        <w:t xml:space="preserve">Definitional ambiguity, tied aid</w:t>
      </w:r>
    </w:p>
    <w:p>
      <w:pPr>
        <w:spacing w:after="120" w:line="360"/>
        <w:jc w:val="both"/>
      </w:pPr>
      <w:r>
        <w:rPr>
          <w:rFonts w:ascii="Times New Roman" w:cs="Times New Roman" w:eastAsia="Times New Roman" w:hAnsi="Times New Roman"/>
          <w:b w:val="false"/>
          <w:bCs w:val="false"/>
          <w:i w:val="false"/>
          <w:iCs w:val="false"/>
          <w:sz w:val="24"/>
          <w:szCs w:val="24"/>
        </w:rPr>
        <w:t xml:space="preserve">Multilateral Development Banks</w:t>
      </w:r>
    </w:p>
    <w:p>
      <w:pPr>
        <w:spacing w:after="120" w:line="360"/>
        <w:jc w:val="both"/>
      </w:pPr>
      <w:r>
        <w:rPr>
          <w:rFonts w:ascii="Times New Roman" w:cs="Times New Roman" w:eastAsia="Times New Roman" w:hAnsi="Times New Roman"/>
          <w:b w:val="false"/>
          <w:bCs w:val="false"/>
          <w:i w:val="false"/>
          <w:iCs w:val="false"/>
          <w:sz w:val="24"/>
          <w:szCs w:val="24"/>
        </w:rPr>
        <w:t xml:space="preserve">Multilateral</w:t>
      </w:r>
    </w:p>
    <w:p>
      <w:pPr>
        <w:spacing w:after="120" w:line="360"/>
        <w:jc w:val="both"/>
      </w:pPr>
      <w:r>
        <w:rPr>
          <w:rFonts w:ascii="Times New Roman" w:cs="Times New Roman" w:eastAsia="Times New Roman" w:hAnsi="Times New Roman"/>
          <w:b w:val="false"/>
          <w:bCs w:val="false"/>
          <w:i w:val="false"/>
          <w:iCs w:val="false"/>
          <w:sz w:val="24"/>
          <w:szCs w:val="24"/>
        </w:rPr>
        <w:t xml:space="preserve">Loans, guarantees, equity</w:t>
      </w:r>
    </w:p>
    <w:p>
      <w:pPr>
        <w:spacing w:after="120" w:line="360"/>
        <w:jc w:val="both"/>
      </w:pPr>
      <w:r>
        <w:rPr>
          <w:rFonts w:ascii="Times New Roman" w:cs="Times New Roman" w:eastAsia="Times New Roman" w:hAnsi="Times New Roman"/>
          <w:b w:val="false"/>
          <w:bCs w:val="false"/>
          <w:i w:val="false"/>
          <w:iCs w:val="false"/>
          <w:sz w:val="24"/>
          <w:szCs w:val="24"/>
        </w:rPr>
        <w:t xml:space="preserve">Mitigation-heavy</w:t>
      </w:r>
    </w:p>
    <w:p>
      <w:pPr>
        <w:spacing w:after="120" w:line="360"/>
        <w:jc w:val="both"/>
      </w:pPr>
      <w:r>
        <w:rPr>
          <w:rFonts w:ascii="Times New Roman" w:cs="Times New Roman" w:eastAsia="Times New Roman" w:hAnsi="Times New Roman"/>
          <w:b w:val="false"/>
          <w:bCs w:val="false"/>
          <w:i w:val="false"/>
          <w:iCs w:val="false"/>
          <w:sz w:val="24"/>
          <w:szCs w:val="24"/>
        </w:rPr>
        <w:t xml:space="preserve">Low</w:t>
      </w:r>
    </w:p>
    <w:p>
      <w:pPr>
        <w:spacing w:after="120" w:line="360"/>
        <w:jc w:val="both"/>
      </w:pPr>
      <w:r>
        <w:rPr>
          <w:rFonts w:ascii="Times New Roman" w:cs="Times New Roman" w:eastAsia="Times New Roman" w:hAnsi="Times New Roman"/>
          <w:b w:val="false"/>
          <w:bCs w:val="false"/>
          <w:i w:val="false"/>
          <w:iCs w:val="false"/>
          <w:sz w:val="24"/>
          <w:szCs w:val="24"/>
        </w:rPr>
        <w:t xml:space="preserve">Debt burden, conditionality</w:t>
      </w:r>
    </w:p>
    <w:p>
      <w:pPr>
        <w:spacing w:after="120" w:line="360"/>
        <w:jc w:val="both"/>
      </w:pPr>
      <w:r>
        <w:rPr>
          <w:rFonts w:ascii="Times New Roman" w:cs="Times New Roman" w:eastAsia="Times New Roman" w:hAnsi="Times New Roman"/>
          <w:b w:val="false"/>
          <w:bCs w:val="false"/>
          <w:i w:val="false"/>
          <w:iCs w:val="false"/>
          <w:sz w:val="24"/>
          <w:szCs w:val="24"/>
        </w:rPr>
        <w:t xml:space="preserve">Private Finance (de-risked)</w:t>
      </w:r>
    </w:p>
    <w:p>
      <w:pPr>
        <w:spacing w:after="120" w:line="360"/>
        <w:jc w:val="both"/>
      </w:pPr>
      <w:r>
        <w:rPr>
          <w:rFonts w:ascii="Times New Roman" w:cs="Times New Roman" w:eastAsia="Times New Roman" w:hAnsi="Times New Roman"/>
          <w:b w:val="false"/>
          <w:bCs w:val="false"/>
          <w:i w:val="false"/>
          <w:iCs w:val="false"/>
          <w:sz w:val="24"/>
          <w:szCs w:val="24"/>
        </w:rPr>
        <w:t xml:space="preserve">Private/Blended</w:t>
      </w:r>
    </w:p>
    <w:p>
      <w:pPr>
        <w:spacing w:after="120" w:line="360"/>
        <w:jc w:val="both"/>
      </w:pPr>
      <w:r>
        <w:rPr>
          <w:rFonts w:ascii="Times New Roman" w:cs="Times New Roman" w:eastAsia="Times New Roman" w:hAnsi="Times New Roman"/>
          <w:b w:val="false"/>
          <w:bCs w:val="false"/>
          <w:i w:val="false"/>
          <w:iCs w:val="false"/>
          <w:sz w:val="24"/>
          <w:szCs w:val="24"/>
        </w:rPr>
        <w:t xml:space="preserve">Equity, bonds, guarantees</w:t>
      </w:r>
    </w:p>
    <w:p>
      <w:pPr>
        <w:spacing w:after="120" w:line="360"/>
        <w:jc w:val="both"/>
      </w:pPr>
      <w:r>
        <w:rPr>
          <w:rFonts w:ascii="Times New Roman" w:cs="Times New Roman" w:eastAsia="Times New Roman" w:hAnsi="Times New Roman"/>
          <w:b w:val="false"/>
          <w:bCs w:val="false"/>
          <w:i w:val="false"/>
          <w:iCs w:val="false"/>
          <w:sz w:val="24"/>
          <w:szCs w:val="24"/>
        </w:rPr>
        <w:t xml:space="preserve">Primarily mitigation</w:t>
      </w:r>
    </w:p>
    <w:p>
      <w:pPr>
        <w:spacing w:after="120" w:line="360"/>
        <w:jc w:val="both"/>
      </w:pPr>
      <w:r>
        <w:rPr>
          <w:rFonts w:ascii="Times New Roman" w:cs="Times New Roman" w:eastAsia="Times New Roman" w:hAnsi="Times New Roman"/>
          <w:b w:val="false"/>
          <w:bCs w:val="false"/>
          <w:i w:val="false"/>
          <w:iCs w:val="false"/>
          <w:sz w:val="24"/>
          <w:szCs w:val="24"/>
        </w:rPr>
        <w:t xml:space="preserve">Very low</w:t>
      </w:r>
    </w:p>
    <w:p>
      <w:pPr>
        <w:spacing w:after="120" w:line="360"/>
        <w:jc w:val="both"/>
      </w:pPr>
      <w:r>
        <w:rPr>
          <w:rFonts w:ascii="Times New Roman" w:cs="Times New Roman" w:eastAsia="Times New Roman" w:hAnsi="Times New Roman"/>
          <w:b w:val="false"/>
          <w:bCs w:val="false"/>
          <w:i w:val="false"/>
          <w:iCs w:val="false"/>
          <w:sz w:val="24"/>
          <w:szCs w:val="24"/>
        </w:rPr>
        <w:t xml:space="preserve">Risk perception, market size</w:t>
      </w:r>
    </w:p>
    <w:p>
      <w:pPr>
        <w:spacing w:after="120" w:line="360"/>
        <w:jc w:val="both"/>
      </w:pPr>
      <w:r>
        <w:rPr>
          <w:rFonts w:ascii="Times New Roman" w:cs="Times New Roman" w:eastAsia="Times New Roman" w:hAnsi="Times New Roman"/>
          <w:b w:val="false"/>
          <w:bCs w:val="false"/>
          <w:i w:val="false"/>
          <w:iCs w:val="false"/>
          <w:sz w:val="24"/>
          <w:szCs w:val="24"/>
        </w:rPr>
        <w:t xml:space="preserve">Blended Finance Facilities</w:t>
      </w:r>
    </w:p>
    <w:p>
      <w:pPr>
        <w:spacing w:after="120" w:line="360"/>
        <w:jc w:val="both"/>
      </w:pPr>
      <w:r>
        <w:rPr>
          <w:rFonts w:ascii="Times New Roman" w:cs="Times New Roman" w:eastAsia="Times New Roman" w:hAnsi="Times New Roman"/>
          <w:b w:val="false"/>
          <w:bCs w:val="false"/>
          <w:i w:val="false"/>
          <w:iCs w:val="false"/>
          <w:sz w:val="24"/>
          <w:szCs w:val="24"/>
        </w:rPr>
        <w:t xml:space="preserve">Mixed</w:t>
      </w:r>
    </w:p>
    <w:p>
      <w:pPr>
        <w:spacing w:after="120" w:line="360"/>
        <w:jc w:val="both"/>
      </w:pPr>
      <w:r>
        <w:rPr>
          <w:rFonts w:ascii="Times New Roman" w:cs="Times New Roman" w:eastAsia="Times New Roman" w:hAnsi="Times New Roman"/>
          <w:b w:val="false"/>
          <w:bCs w:val="false"/>
          <w:i w:val="false"/>
          <w:iCs w:val="false"/>
          <w:sz w:val="24"/>
          <w:szCs w:val="24"/>
        </w:rPr>
        <w:t xml:space="preserve">Co-investment, first-loss</w:t>
      </w:r>
    </w:p>
    <w:p>
      <w:pPr>
        <w:spacing w:after="120" w:line="360"/>
        <w:jc w:val="both"/>
      </w:pPr>
      <w:r>
        <w:rPr>
          <w:rFonts w:ascii="Times New Roman" w:cs="Times New Roman" w:eastAsia="Times New Roman" w:hAnsi="Times New Roman"/>
          <w:b w:val="false"/>
          <w:bCs w:val="false"/>
          <w:i w:val="false"/>
          <w:iCs w:val="false"/>
          <w:sz w:val="24"/>
          <w:szCs w:val="24"/>
        </w:rPr>
        <w:t xml:space="preserve">Mixed, project-dependent</w:t>
      </w:r>
    </w:p>
    <w:p>
      <w:pPr>
        <w:spacing w:after="120" w:line="360"/>
        <w:jc w:val="both"/>
      </w:pPr>
      <w:r>
        <w:rPr>
          <w:rFonts w:ascii="Times New Roman" w:cs="Times New Roman" w:eastAsia="Times New Roman" w:hAnsi="Times New Roman"/>
          <w:b w:val="false"/>
          <w:bCs w:val="false"/>
          <w:i w:val="false"/>
          <w:iCs w:val="false"/>
          <w:sz w:val="24"/>
          <w:szCs w:val="24"/>
        </w:rPr>
        <w:t xml:space="preserve">Low-moderate</w:t>
      </w:r>
    </w:p>
    <w:p>
      <w:pPr>
        <w:spacing w:after="120" w:line="360"/>
        <w:jc w:val="both"/>
      </w:pPr>
      <w:r>
        <w:rPr>
          <w:rFonts w:ascii="Times New Roman" w:cs="Times New Roman" w:eastAsia="Times New Roman" w:hAnsi="Times New Roman"/>
          <w:b w:val="false"/>
          <w:bCs w:val="false"/>
          <w:i w:val="false"/>
          <w:iCs w:val="false"/>
          <w:sz w:val="24"/>
          <w:szCs w:val="24"/>
        </w:rPr>
        <w:t xml:space="preserve">Impact washing, governance opacity</w:t>
      </w:r>
    </w:p>
    <w:p>
      <w:pPr>
        <w:spacing w:after="120" w:line="360"/>
        <w:jc w:val="both"/>
      </w:pPr>
      <w:r>
        <w:rPr>
          <w:rFonts w:ascii="Times New Roman" w:cs="Times New Roman" w:eastAsia="Times New Roman" w:hAnsi="Times New Roman"/>
          <w:b w:val="false"/>
          <w:bCs w:val="false"/>
          <w:i w:val="false"/>
          <w:iCs w:val="false"/>
          <w:sz w:val="24"/>
          <w:szCs w:val="24"/>
        </w:rPr>
        <w:t xml:space="preserve">Voluntary Carbon Markets</w:t>
      </w:r>
    </w:p>
    <w:p>
      <w:pPr>
        <w:spacing w:after="120" w:line="360"/>
        <w:jc w:val="both"/>
      </w:pPr>
      <w:r>
        <w:rPr>
          <w:rFonts w:ascii="Times New Roman" w:cs="Times New Roman" w:eastAsia="Times New Roman" w:hAnsi="Times New Roman"/>
          <w:b w:val="false"/>
          <w:bCs w:val="false"/>
          <w:i w:val="false"/>
          <w:iCs w:val="false"/>
          <w:sz w:val="24"/>
          <w:szCs w:val="24"/>
        </w:rPr>
        <w:t xml:space="preserve">Private</w:t>
      </w:r>
    </w:p>
    <w:p>
      <w:pPr>
        <w:spacing w:after="120" w:line="360"/>
        <w:jc w:val="both"/>
      </w:pPr>
      <w:r>
        <w:rPr>
          <w:rFonts w:ascii="Times New Roman" w:cs="Times New Roman" w:eastAsia="Times New Roman" w:hAnsi="Times New Roman"/>
          <w:b w:val="false"/>
          <w:bCs w:val="false"/>
          <w:i w:val="false"/>
          <w:iCs w:val="false"/>
          <w:sz w:val="24"/>
          <w:szCs w:val="24"/>
        </w:rPr>
        <w:t xml:space="preserve">Carbon credits, offsets</w:t>
      </w:r>
    </w:p>
    <w:p>
      <w:pPr>
        <w:spacing w:after="120" w:line="360"/>
        <w:jc w:val="both"/>
      </w:pPr>
      <w:r>
        <w:rPr>
          <w:rFonts w:ascii="Times New Roman" w:cs="Times New Roman" w:eastAsia="Times New Roman" w:hAnsi="Times New Roman"/>
          <w:b w:val="false"/>
          <w:bCs w:val="false"/>
          <w:i w:val="false"/>
          <w:iCs w:val="false"/>
          <w:sz w:val="24"/>
          <w:szCs w:val="24"/>
        </w:rPr>
        <w:t xml:space="preserve">Mitigation (forestry, RE)</w:t>
      </w:r>
    </w:p>
    <w:p>
      <w:pPr>
        <w:spacing w:after="120" w:line="360"/>
        <w:jc w:val="both"/>
      </w:pPr>
      <w:r>
        <w:rPr>
          <w:rFonts w:ascii="Times New Roman" w:cs="Times New Roman" w:eastAsia="Times New Roman" w:hAnsi="Times New Roman"/>
          <w:b w:val="false"/>
          <w:bCs w:val="false"/>
          <w:i w:val="false"/>
          <w:iCs w:val="false"/>
          <w:sz w:val="24"/>
          <w:szCs w:val="24"/>
        </w:rPr>
        <w:t xml:space="preserve">Variable</w:t>
      </w:r>
    </w:p>
    <w:p>
      <w:pPr>
        <w:spacing w:after="120" w:line="360"/>
        <w:jc w:val="both"/>
      </w:pPr>
      <w:r>
        <w:rPr>
          <w:rFonts w:ascii="Times New Roman" w:cs="Times New Roman" w:eastAsia="Times New Roman" w:hAnsi="Times New Roman"/>
          <w:b w:val="false"/>
          <w:bCs w:val="false"/>
          <w:i w:val="false"/>
          <w:iCs w:val="false"/>
          <w:sz w:val="24"/>
          <w:szCs w:val="24"/>
        </w:rPr>
        <w:t xml:space="preserve">Integrity concerns, benefit-sharing</w:t>
      </w:r>
    </w:p>
    <w:p>
      <w:pPr>
        <w:spacing w:after="120" w:line="360"/>
        <w:jc w:val="both"/>
      </w:pPr>
      <w:r>
        <w:rPr>
          <w:rFonts w:ascii="Times New Roman" w:cs="Times New Roman" w:eastAsia="Times New Roman" w:hAnsi="Times New Roman"/>
          <w:b w:val="false"/>
          <w:bCs w:val="false"/>
          <w:i w:val="false"/>
          <w:iCs w:val="false"/>
          <w:sz w:val="24"/>
          <w:szCs w:val="24"/>
        </w:rPr>
        <w:t xml:space="preserve">Article 6 Mechanisms</w:t>
      </w:r>
    </w:p>
    <w:p>
      <w:pPr>
        <w:spacing w:after="120" w:line="360"/>
        <w:jc w:val="both"/>
      </w:pPr>
      <w:r>
        <w:rPr>
          <w:rFonts w:ascii="Times New Roman" w:cs="Times New Roman" w:eastAsia="Times New Roman" w:hAnsi="Times New Roman"/>
          <w:b w:val="false"/>
          <w:bCs w:val="false"/>
          <w:i w:val="false"/>
          <w:iCs w:val="false"/>
          <w:sz w:val="24"/>
          <w:szCs w:val="24"/>
        </w:rPr>
        <w:t xml:space="preserve">Bilateral/Multilateral</w:t>
      </w:r>
    </w:p>
    <w:p>
      <w:pPr>
        <w:spacing w:after="120" w:line="360"/>
        <w:jc w:val="both"/>
      </w:pPr>
      <w:r>
        <w:rPr>
          <w:rFonts w:ascii="Times New Roman" w:cs="Times New Roman" w:eastAsia="Times New Roman" w:hAnsi="Times New Roman"/>
          <w:b w:val="false"/>
          <w:bCs w:val="false"/>
          <w:i w:val="false"/>
          <w:iCs w:val="false"/>
          <w:sz w:val="24"/>
          <w:szCs w:val="24"/>
        </w:rPr>
        <w:t xml:space="preserve">ITMOs, carbon credits</w:t>
      </w:r>
    </w:p>
    <w:p>
      <w:pPr>
        <w:spacing w:after="120" w:line="360"/>
        <w:jc w:val="both"/>
      </w:pPr>
      <w:r>
        <w:rPr>
          <w:rFonts w:ascii="Times New Roman" w:cs="Times New Roman" w:eastAsia="Times New Roman" w:hAnsi="Times New Roman"/>
          <w:b w:val="false"/>
          <w:bCs w:val="false"/>
          <w:i w:val="false"/>
          <w:iCs w:val="false"/>
          <w:sz w:val="24"/>
          <w:szCs w:val="24"/>
        </w:rPr>
        <w:t xml:space="preserve">Mitigation</w:t>
      </w:r>
    </w:p>
    <w:p>
      <w:pPr>
        <w:spacing w:after="120" w:line="360"/>
        <w:jc w:val="both"/>
      </w:pPr>
      <w:r>
        <w:rPr>
          <w:rFonts w:ascii="Times New Roman" w:cs="Times New Roman" w:eastAsia="Times New Roman" w:hAnsi="Times New Roman"/>
          <w:b/>
          <w:bCs/>
          <w:i w:val="false"/>
          <w:iCs w:val="false"/>
          <w:sz w:val="28"/>
          <w:szCs w:val="28"/>
        </w:rPr>
        <w:t xml:space="preserve">TBD</w:t>
      </w:r>
    </w:p>
    <w:p>
      <w:pPr>
        <w:spacing w:after="120" w:line="360"/>
        <w:jc w:val="both"/>
      </w:pPr>
      <w:r>
        <w:rPr>
          <w:rFonts w:ascii="Times New Roman" w:cs="Times New Roman" w:eastAsia="Times New Roman" w:hAnsi="Times New Roman"/>
          <w:b w:val="false"/>
          <w:bCs w:val="false"/>
          <w:i w:val="false"/>
          <w:iCs w:val="false"/>
          <w:sz w:val="24"/>
          <w:szCs w:val="24"/>
        </w:rPr>
        <w:t xml:space="preserve">Governance unresolved, double-counting risk</w:t>
      </w:r>
    </w:p>
    <w:p>
      <w:pPr>
        <w:spacing w:after="120" w:line="360"/>
        <w:jc w:val="both"/>
      </w:pPr>
      <w:r>
        <w:rPr>
          <w:rFonts w:ascii="Times New Roman" w:cs="Times New Roman" w:eastAsia="Times New Roman" w:hAnsi="Times New Roman"/>
          <w:b w:val="false"/>
          <w:bCs w:val="false"/>
          <w:i w:val="false"/>
          <w:iCs w:val="false"/>
          <w:sz w:val="24"/>
          <w:szCs w:val="24"/>
        </w:rPr>
        <w:t xml:space="preserve">Table 1.1: Comparative Overview of Major Climate Finance Mechanisms Relevant to the Global South</w:t>
      </w:r>
    </w:p>
    <w:p>
      <w:pPr>
        <w:spacing w:after="120" w:line="360"/>
        <w:jc w:val="both"/>
      </w:pPr>
      <w:r>
        <w:rPr>
          <w:rFonts w:ascii="Times New Roman" w:cs="Times New Roman" w:eastAsia="Times New Roman" w:hAnsi="Times New Roman"/>
          <w:b w:val="false"/>
          <w:bCs w:val="false"/>
          <w:i w:val="false"/>
          <w:iCs w:val="false"/>
          <w:sz w:val="24"/>
          <w:szCs w:val="24"/>
        </w:rPr>
        <w:t xml:space="preserve">4  Case Studies: Climate Finance Experiences across the Global South</w:t>
      </w:r>
    </w:p>
    <w:p>
      <w:pPr>
        <w:spacing w:after="120" w:line="360"/>
        <w:jc w:val="both"/>
      </w:pPr>
      <w:r>
        <w:rPr>
          <w:rFonts w:ascii="Times New Roman" w:cs="Times New Roman" w:eastAsia="Times New Roman" w:hAnsi="Times New Roman"/>
          <w:b/>
          <w:bCs/>
          <w:i w:val="false"/>
          <w:iCs w:val="false"/>
          <w:sz w:val="28"/>
          <w:szCs w:val="28"/>
        </w:rPr>
        <w:t xml:space="preserve">4.1  INDIA: NAVIGATING SCALE, SOVEREIGNTY, AND THE ENERGY TRANSITION</w:t>
      </w:r>
    </w:p>
    <w:p>
      <w:pPr>
        <w:spacing w:after="120" w:line="360"/>
        <w:jc w:val="both"/>
      </w:pPr>
      <w:r>
        <w:rPr>
          <w:rFonts w:ascii="Times New Roman" w:cs="Times New Roman" w:eastAsia="Times New Roman" w:hAnsi="Times New Roman"/>
          <w:b w:val="false"/>
          <w:bCs w:val="false"/>
          <w:i w:val="false"/>
          <w:iCs w:val="false"/>
          <w:sz w:val="24"/>
          <w:szCs w:val="24"/>
        </w:rPr>
        <w:t xml:space="preserve">India's experience with climate finance provides an insightful look at the conflicts between aspirations for development, concerns about sovereignty, and the restrictions placed on foreign capital flows. India holds a unique position in international climate negotiations because it is both a major emitter whose transition matters globally and a developing nation where hundreds of millions of people still lack reliable access to energy [23]. India is the world's third-largest emitter by current output but one of the lowest in terms of per-capita historical terms.</w:t>
      </w:r>
    </w:p>
    <w:p>
      <w:pPr>
        <w:spacing w:after="120" w:line="360"/>
        <w:jc w:val="both"/>
      </w:pPr>
      <w:r>
        <w:rPr>
          <w:rFonts w:ascii="Times New Roman" w:cs="Times New Roman" w:eastAsia="Times New Roman" w:hAnsi="Times New Roman"/>
          <w:b w:val="false"/>
          <w:bCs w:val="false"/>
          <w:i w:val="false"/>
          <w:iCs w:val="false"/>
          <w:sz w:val="24"/>
          <w:szCs w:val="24"/>
        </w:rPr>
        <w:t xml:space="preserve">The government's ambitious goal of 500 GW of non-fossil fuel capacity by 2030 and a domestic regulatory environment that has significantly lowered the costs of solar and wind power have drawn significant private and blended financing to India's renewable energy sector. The International Solar Alliance, which was co-founded by France and India and has its headquarters in Gurugram, aims to raise USD 1 trillion in solar investment among its 121 member nations, with a special emphasis on developing nations. In India, the GCF has authorized a number of projects, such as assistance for affordable housing that uses climate-resilient design guidelines [24].</w:t>
      </w:r>
    </w:p>
    <w:p>
      <w:pPr>
        <w:spacing w:after="120" w:line="360"/>
        <w:jc w:val="both"/>
      </w:pPr>
      <w:r>
        <w:rPr>
          <w:rFonts w:ascii="Times New Roman" w:cs="Times New Roman" w:eastAsia="Times New Roman" w:hAnsi="Times New Roman"/>
          <w:b w:val="false"/>
          <w:bCs w:val="false"/>
          <w:i w:val="false"/>
          <w:iCs w:val="false"/>
          <w:sz w:val="24"/>
          <w:szCs w:val="24"/>
        </w:rPr>
        <w:t xml:space="preserve">However, the situation for climate justice in India is even more nuanced. Energy-poor states in the Hindi heartland and the Northeast have benefited little from the shift due to the concentration of private renewable energy investment in states with robust grid infrastructure and land availability, such as Rajasthan, Gujarat, and Tamil Nadu. More importantly, adaptation funding for the urban poor, coastal people, and agricultural areas most vulnerable to climate risks is still woefully inadequate, and India's climate finance has been strongly biased toward mitigation. Only USD 125 million was allotted to India's National Adaptation Fund for Climate Change during its first five years of operation, which is a small portion of the amount the IPCC estimates is required [25].</w:t>
      </w:r>
    </w:p>
    <w:p>
      <w:pPr>
        <w:spacing w:after="120" w:line="360"/>
        <w:jc w:val="both"/>
      </w:pPr>
      <w:r>
        <w:rPr>
          <w:rFonts w:ascii="Times New Roman" w:cs="Times New Roman" w:eastAsia="Times New Roman" w:hAnsi="Times New Roman"/>
          <w:b/>
          <w:bCs/>
          <w:i w:val="false"/>
          <w:iCs w:val="false"/>
          <w:sz w:val="28"/>
          <w:szCs w:val="28"/>
        </w:rPr>
        <w:t xml:space="preserve">4.2  SUB-SAHARAN AFRICA: THE ADAPTATION FINANCE DEFICIT AND STRUCTURAL BARRIERS</w:t>
      </w:r>
    </w:p>
    <w:p>
      <w:pPr>
        <w:spacing w:after="120" w:line="360"/>
        <w:jc w:val="both"/>
      </w:pPr>
      <w:r>
        <w:rPr>
          <w:rFonts w:ascii="Times New Roman" w:cs="Times New Roman" w:eastAsia="Times New Roman" w:hAnsi="Times New Roman"/>
          <w:b w:val="false"/>
          <w:bCs w:val="false"/>
          <w:i w:val="false"/>
          <w:iCs w:val="false"/>
          <w:sz w:val="24"/>
          <w:szCs w:val="24"/>
        </w:rPr>
        <w:t xml:space="preserve">Perhaps the most striking example of the mismatch between climatic vulnerability and the distribution of climate finance may be found in Sub-Saharan Africa. Over a billion people live in the area, most of whom rely on rain-fed agriculture and other climate-sensitive means of subsistence. Despite receiving a share of global climate money that is outrageously disproportionate to this exposure, it includes 17 of the 20 nations that the ND-GAIN Country Index ranks as being most susceptible to climate change. Africa only received USD 30 billion in climate-related finance flows in 2020, despite estimates from the African Development Bank indicating that the continent needs between USD 1.3 trillion and USD 1.6 trillion for climate action through 2030 [26].</w:t>
      </w:r>
    </w:p>
    <w:p>
      <w:pPr>
        <w:spacing w:after="120" w:line="360"/>
        <w:jc w:val="both"/>
      </w:pPr>
      <w:r>
        <w:rPr>
          <w:rFonts w:ascii="Times New Roman" w:cs="Times New Roman" w:eastAsia="Times New Roman" w:hAnsi="Times New Roman"/>
          <w:b w:val="false"/>
          <w:bCs w:val="false"/>
          <w:i w:val="false"/>
          <w:iCs w:val="false"/>
          <w:sz w:val="24"/>
          <w:szCs w:val="24"/>
        </w:rPr>
        <w:t xml:space="preserve">An additional level of inequality is introduced by the governance of climate funding. The GCF has discovered that many African national implementing entities lack the fiduciary standards, monitoring and evaluation procedures, and technical capabilities necessary for certification, despite a declared commitment to eased access for least developed nations. Only 14 African institutions had direct access accreditation with the GCF as of 2023, which means that most African climate projects must be carried out through foreign organizations, which comes with greater transaction costs, slower distribution, and less community ownership [27].</w:t>
      </w:r>
    </w:p>
    <w:p>
      <w:pPr>
        <w:spacing w:after="120" w:line="360"/>
        <w:jc w:val="both"/>
      </w:pPr>
      <w:r>
        <w:rPr>
          <w:rFonts w:ascii="Times New Roman" w:cs="Times New Roman" w:eastAsia="Times New Roman" w:hAnsi="Times New Roman"/>
          <w:b w:val="false"/>
          <w:bCs w:val="false"/>
          <w:i w:val="false"/>
          <w:iCs w:val="false"/>
          <w:sz w:val="24"/>
          <w:szCs w:val="24"/>
        </w:rPr>
        <w:t xml:space="preserve">Some of these issues have been resolved by creative solutions like the Coalition for Disaster Resilient Infrastructure and the Africa Adaptation Acceleration Program. Initiatives to strengthen sub-national implementation capacity include the Cities and Climate Change program of the African Development Bank. The additionality concept, which is essential to the Paris Agreement's financial framework, is obscured by the fact that adaption expenditures in sub-Saharan Africa are often viewed as development assistance rather than climate financing. Both the amount of development funds available for non-climate purposes and the validity of the climate finance accounting are jeopardized when climate money is routed through ODA budgets and compared to more general development assistance pledges [28].</w:t>
      </w:r>
    </w:p>
    <w:p>
      <w:pPr>
        <w:spacing w:after="120" w:line="360"/>
        <w:jc w:val="both"/>
      </w:pPr>
      <w:r>
        <w:rPr>
          <w:rFonts w:ascii="Times New Roman" w:cs="Times New Roman" w:eastAsia="Times New Roman" w:hAnsi="Times New Roman"/>
          <w:b/>
          <w:bCs/>
          <w:i w:val="false"/>
          <w:iCs w:val="false"/>
          <w:sz w:val="28"/>
          <w:szCs w:val="28"/>
        </w:rPr>
        <w:t xml:space="preserve">4.3  SMALL ISLAND DEVELOPING STATES: EXISTENTIAL VULNERABILITY AND DISPROPORTIONATE BARRIERS</w:t>
      </w:r>
    </w:p>
    <w:p>
      <w:pPr>
        <w:spacing w:after="120" w:line="360"/>
        <w:jc w:val="both"/>
      </w:pPr>
      <w:r>
        <w:rPr>
          <w:rFonts w:ascii="Times New Roman" w:cs="Times New Roman" w:eastAsia="Times New Roman" w:hAnsi="Times New Roman"/>
          <w:b w:val="false"/>
          <w:bCs w:val="false"/>
          <w:i w:val="false"/>
          <w:iCs w:val="false"/>
          <w:sz w:val="24"/>
          <w:szCs w:val="24"/>
        </w:rPr>
        <w:t xml:space="preserve">In discussions around climate finance, Small Island Developing States (SIDS) hold a distinct and contentious position. Countries like Tuvalu, Kiribati, the Marshall Islands, the Maldives, and Vanuatu are susceptible to physical territorial loss, population displacement, and what their leaders refer to as "existential" threats to their national identity in addition to the economic disruption brought on by climate change. However, the climate financing environment is particularly antagonistic to their requests [29].</w:t>
      </w:r>
    </w:p>
    <w:p>
      <w:pPr>
        <w:spacing w:after="120" w:line="360"/>
        <w:jc w:val="both"/>
      </w:pPr>
      <w:r>
        <w:rPr>
          <w:rFonts w:ascii="Times New Roman" w:cs="Times New Roman" w:eastAsia="Times New Roman" w:hAnsi="Times New Roman"/>
          <w:b w:val="false"/>
          <w:bCs w:val="false"/>
          <w:i w:val="false"/>
          <w:iCs w:val="false"/>
          <w:sz w:val="24"/>
          <w:szCs w:val="24"/>
        </w:rPr>
        <w:t xml:space="preserve">SIDS are among the least served by current climate finance channels due to their small economies, weak institutional capacity, high susceptibility to natural disasters, and remote location from major financial hubs. SIDS have historically been disadvantaged by GCF project minimum size requirements because their adaptation needs typically involve numerous small, dispersed interventions, such as early warning systems, mangrove restoration, coastal protection, and rainwater harvesting, rather than the large-scale infrastructure projects that easily fit into multilateral project cycles. The high cost of feasibility studies needed prior to project approval, the two to three-year delay between project approval and first disbursement, onerous reporting requirements that surpass small island governments' administrative capacity, and currency risks on loans denominated in hard currencies are some of the access barriers noted by SIDS governments [30].</w:t>
      </w:r>
    </w:p>
    <w:p>
      <w:pPr>
        <w:spacing w:after="120" w:line="360"/>
        <w:jc w:val="both"/>
      </w:pPr>
      <w:r>
        <w:rPr>
          <w:rFonts w:ascii="Times New Roman" w:cs="Times New Roman" w:eastAsia="Times New Roman" w:hAnsi="Times New Roman"/>
          <w:b w:val="false"/>
          <w:bCs w:val="false"/>
          <w:i w:val="false"/>
          <w:iCs w:val="false"/>
          <w:sz w:val="24"/>
          <w:szCs w:val="24"/>
        </w:rPr>
        <w:t xml:space="preserve">The hard-won recognition of the unique requirements of SIDS and other extremely vulnerable countries was demonstrated by the creation of a Loss and Damage finance facility at COP27 and its operationalization through the "Fund for reacting to Loss and Damage" at COP28 in Dubai. SIDS governments and their civil society supporters, however, pointed out that the fund's initial capitalization—roughly USD 700 million in pledges by early 2024—was significantly less than what loss and damage events now impose on these nations each year. Although its operationalization is still hotly debated, the more general idea that climate financing must go beyond mitigation and adaptation to include compensation for irreversible harm is now institutionally acknowledged [31].</w:t>
      </w:r>
    </w:p>
    <w:p>
      <w:pPr>
        <w:spacing w:after="120" w:line="360"/>
        <w:jc w:val="both"/>
      </w:pPr>
      <w:r>
        <w:rPr>
          <w:rFonts w:ascii="Times New Roman" w:cs="Times New Roman" w:eastAsia="Times New Roman" w:hAnsi="Times New Roman"/>
          <w:b w:val="false"/>
          <w:bCs w:val="false"/>
          <w:i w:val="false"/>
          <w:iCs w:val="false"/>
          <w:sz w:val="24"/>
          <w:szCs w:val="24"/>
        </w:rPr>
        <w:t xml:space="preserve">5  Structural Barriers to Effective Climate Finance in the Global South</w:t>
      </w:r>
    </w:p>
    <w:p>
      <w:pPr>
        <w:spacing w:after="120" w:line="360"/>
        <w:jc w:val="both"/>
      </w:pPr>
      <w:r>
        <w:rPr>
          <w:rFonts w:ascii="Times New Roman" w:cs="Times New Roman" w:eastAsia="Times New Roman" w:hAnsi="Times New Roman"/>
          <w:b/>
          <w:bCs/>
          <w:i w:val="false"/>
          <w:iCs w:val="false"/>
          <w:sz w:val="28"/>
          <w:szCs w:val="28"/>
        </w:rPr>
        <w:t xml:space="preserve">5.1  ACCESS, CONDITIONALITY, AND INSTITUTIONAL CAPACITY</w:t>
      </w:r>
    </w:p>
    <w:p>
      <w:pPr>
        <w:spacing w:after="120" w:line="360"/>
        <w:jc w:val="both"/>
      </w:pPr>
      <w:r>
        <w:rPr>
          <w:rFonts w:ascii="Times New Roman" w:cs="Times New Roman" w:eastAsia="Times New Roman" w:hAnsi="Times New Roman"/>
          <w:b w:val="false"/>
          <w:bCs w:val="false"/>
          <w:i w:val="false"/>
          <w:iCs w:val="false"/>
          <w:sz w:val="24"/>
          <w:szCs w:val="24"/>
        </w:rPr>
        <w:t xml:space="preserve">The primary barrier keeping climate funding from reaching the countries that most need it is the architecture—the procedures, requirements, standards, and governance structures that specify who can receive credit, on what terms, and for what objectives. The OECD's 2020 Climate money Provided and Mobilized by Developed Countries study [32] found that while headline climate money levels have grown, access remains incredibly unequal.</w:t>
      </w:r>
    </w:p>
    <w:p>
      <w:pPr>
        <w:spacing w:after="120" w:line="360"/>
        <w:jc w:val="both"/>
      </w:pPr>
      <w:r>
        <w:rPr>
          <w:rFonts w:ascii="Times New Roman" w:cs="Times New Roman" w:eastAsia="Times New Roman" w:hAnsi="Times New Roman"/>
          <w:b w:val="false"/>
          <w:bCs w:val="false"/>
          <w:i w:val="false"/>
          <w:iCs w:val="false"/>
          <w:sz w:val="24"/>
          <w:szCs w:val="24"/>
        </w:rPr>
        <w:t xml:space="preserve">One of the biggest obstacles is the need for certification at major international climate funds. The GCF uses fiduciary principles for financial management, gender equity, environmental and social protection, and procurement, all of which are based on global best practices. Although these regulations are beneficial, their implementation frequently mimics institutional models created for giant multinational corporations rather than the realities of government organizations in small, developing nations. The application institution, not the fund, is responsible for covering the expenses of the accreditation process, which can take three to five years and need substantial staff labor and outside consultant support [33].</w:t>
      </w:r>
    </w:p>
    <w:p>
      <w:pPr>
        <w:spacing w:after="120" w:line="360"/>
        <w:jc w:val="both"/>
      </w:pPr>
      <w:r>
        <w:rPr>
          <w:rFonts w:ascii="Times New Roman" w:cs="Times New Roman" w:eastAsia="Times New Roman" w:hAnsi="Times New Roman"/>
          <w:b w:val="false"/>
          <w:bCs w:val="false"/>
          <w:i w:val="false"/>
          <w:iCs w:val="false"/>
          <w:sz w:val="24"/>
          <w:szCs w:val="24"/>
        </w:rPr>
        <w:t xml:space="preserve">Conditions on climate loans that combine climate money with more general calls for economic reform, like tariff reform, energy market liberalization, and fiscal consolidation, are commonly imposed by multilateral development banks. Instead of reflecting the interests of recipient nations, these demands represent the preferences of lending institutions. Additional climate conditionality may be truly prohibitive for low-income countries whose policy choice is already limited by IMF program criteria, donor harmonization expectations, and debt servicing responsibilities [34].</w:t>
      </w:r>
    </w:p>
    <w:p>
      <w:pPr>
        <w:spacing w:after="120" w:line="360"/>
        <w:jc w:val="both"/>
      </w:pPr>
      <w:r>
        <w:rPr>
          <w:rFonts w:ascii="Times New Roman" w:cs="Times New Roman" w:eastAsia="Times New Roman" w:hAnsi="Times New Roman"/>
          <w:b/>
          <w:bCs/>
          <w:i w:val="false"/>
          <w:iCs w:val="false"/>
          <w:sz w:val="28"/>
          <w:szCs w:val="28"/>
        </w:rPr>
        <w:t xml:space="preserve">5.2  DEBT, CURRENCY RISK, AND MACROECONOMIC CONSTRAINTS</w:t>
      </w:r>
    </w:p>
    <w:p>
      <w:pPr>
        <w:spacing w:after="120" w:line="360"/>
        <w:jc w:val="both"/>
      </w:pPr>
      <w:r>
        <w:rPr>
          <w:rFonts w:ascii="Times New Roman" w:cs="Times New Roman" w:eastAsia="Times New Roman" w:hAnsi="Times New Roman"/>
          <w:b w:val="false"/>
          <w:bCs w:val="false"/>
          <w:i w:val="false"/>
          <w:iCs w:val="false"/>
          <w:sz w:val="24"/>
          <w:szCs w:val="24"/>
        </w:rPr>
        <w:t xml:space="preserve">As of 2023, external debt service accounted for over 30% of export earnings in over 30 developing countries [35]. The growing debt crisis in many Global South countries makes it extremely difficult to accept concessional climate loans and carry out the public spending necessary for adaptation. Climate-vulnerable nations have a peculiar dynamic: they have higher sovereign credit ratings and, consequently, higher borrowing costs in global markets, despite facing the greatest physical climate threats. Even though rating agencies have started to take climate risk into account in sovereign credit ratings, the relationship usually goes the other way, characterizing climate vulnerability as a credit risk rather than rewarding investments in climate ambition and resilience [36].</w:t>
      </w:r>
    </w:p>
    <w:p>
      <w:pPr>
        <w:spacing w:after="120" w:line="360"/>
        <w:jc w:val="both"/>
      </w:pPr>
      <w:r>
        <w:rPr>
          <w:rFonts w:ascii="Times New Roman" w:cs="Times New Roman" w:eastAsia="Times New Roman" w:hAnsi="Times New Roman"/>
          <w:b w:val="false"/>
          <w:bCs w:val="false"/>
          <w:i w:val="false"/>
          <w:iCs w:val="false"/>
          <w:sz w:val="24"/>
          <w:szCs w:val="24"/>
        </w:rPr>
        <w:t xml:space="preserve">Another systemic issue is currency mismatch. While recipient nations' revenue bases are in local currencies, climate support from multilateral organizations and diverse bilateral sources is valued in hard currencies like dollars, euros, and yen. The cost of servicing climate-related loans inevitably increases when local currencies fall, as they often do in response to external shocks like climatic disasters.</w:t>
      </w:r>
    </w:p>
    <w:p>
      <w:pPr>
        <w:spacing w:after="120" w:line="360"/>
        <w:jc w:val="both"/>
      </w:pPr>
      <w:r>
        <w:rPr>
          <w:rFonts w:ascii="Times New Roman" w:cs="Times New Roman" w:eastAsia="Times New Roman" w:hAnsi="Times New Roman"/>
          <w:b w:val="false"/>
          <w:bCs w:val="false"/>
          <w:i w:val="false"/>
          <w:iCs w:val="false"/>
          <w:sz w:val="24"/>
          <w:szCs w:val="24"/>
        </w:rPr>
        <w:t xml:space="preserve">This creates a vicious cycle whereby climate impacts increase debt burdens at the same time that they destroy the productive capacity necessary to service them. This cycle, known as the "climate-debt trap," is particularly detrimental to SIDS [37].</w:t>
      </w:r>
    </w:p>
    <w:p>
      <w:pPr>
        <w:spacing w:after="120" w:line="360"/>
        <w:jc w:val="both"/>
      </w:pPr>
      <w:r>
        <w:rPr>
          <w:rFonts w:ascii="Times New Roman" w:cs="Times New Roman" w:eastAsia="Times New Roman" w:hAnsi="Times New Roman"/>
          <w:b/>
          <w:bCs/>
          <w:i w:val="false"/>
          <w:iCs w:val="false"/>
          <w:sz w:val="28"/>
          <w:szCs w:val="28"/>
        </w:rPr>
        <w:t xml:space="preserve">5.3  GOVERNANCE ASYMMETRIES AND THE DEMOCRATIC DEFICIT</w:t>
      </w:r>
    </w:p>
    <w:p>
      <w:pPr>
        <w:spacing w:after="120" w:line="360"/>
        <w:jc w:val="both"/>
      </w:pPr>
      <w:r>
        <w:rPr>
          <w:rFonts w:ascii="Times New Roman" w:cs="Times New Roman" w:eastAsia="Times New Roman" w:hAnsi="Times New Roman"/>
          <w:b w:val="false"/>
          <w:bCs w:val="false"/>
          <w:i w:val="false"/>
          <w:iCs w:val="false"/>
          <w:sz w:val="24"/>
          <w:szCs w:val="24"/>
        </w:rPr>
        <w:t xml:space="preserve">A basic conflict between the interests of contributing and beneficiary nations is reflected in the management of the main multinational climate funds. In contrast to the World Bank's capital-weighted voting system, the GCF Board features equal representation for wealthy and developing nations. However, Northern governance norms are frequently given precedence over Southern priorities in the practical dynamics of Board deliberations, which are greatly influenced by the technical secretariat (which heavily draws from international expertise) and the accreditation standards (which reflect developed country institutional templates) [38].</w:t>
      </w:r>
    </w:p>
    <w:p>
      <w:pPr>
        <w:spacing w:after="120" w:line="360"/>
        <w:jc w:val="both"/>
      </w:pPr>
      <w:r>
        <w:rPr>
          <w:rFonts w:ascii="Times New Roman" w:cs="Times New Roman" w:eastAsia="Times New Roman" w:hAnsi="Times New Roman"/>
          <w:b w:val="false"/>
          <w:bCs w:val="false"/>
          <w:i w:val="false"/>
          <w:iCs w:val="false"/>
          <w:sz w:val="24"/>
          <w:szCs w:val="24"/>
        </w:rPr>
        <w:t xml:space="preserve">Although the GCF grants observer status to both private sector and civil society organizations, civil society participation in climate finance governance is officially recognized. However, resource constraints, language barriers, and the sheer amount of documentation required for fund Board meetings severely limit the ability of civil society organizations from low-income countries to engage meaningfully with complex fund governance processes. As a result, the governance landscape is characterized by a systematic underrepresentation of the opinions of the people most impacted by climate change in the decisions that decide if and how financing reaches them [39].</w:t>
      </w:r>
    </w:p>
    <w:p>
      <w:pPr>
        <w:spacing w:after="120" w:line="360"/>
        <w:jc w:val="both"/>
      </w:pPr>
      <w:r>
        <w:rPr>
          <w:rFonts w:ascii="Times New Roman" w:cs="Times New Roman" w:eastAsia="Times New Roman" w:hAnsi="Times New Roman"/>
          <w:b w:val="false"/>
          <w:bCs w:val="false"/>
          <w:i w:val="false"/>
          <w:iCs w:val="false"/>
          <w:sz w:val="24"/>
          <w:szCs w:val="24"/>
        </w:rPr>
        <w:t xml:space="preserve">Barrier Category</w:t>
      </w:r>
    </w:p>
    <w:p>
      <w:pPr>
        <w:spacing w:after="120" w:line="360"/>
        <w:jc w:val="both"/>
      </w:pPr>
      <w:r>
        <w:rPr>
          <w:rFonts w:ascii="Times New Roman" w:cs="Times New Roman" w:eastAsia="Times New Roman" w:hAnsi="Times New Roman"/>
          <w:b w:val="false"/>
          <w:bCs w:val="false"/>
          <w:i w:val="false"/>
          <w:iCs w:val="false"/>
          <w:sz w:val="24"/>
          <w:szCs w:val="24"/>
        </w:rPr>
        <w:t xml:space="preserve">Specific Challenge</w:t>
      </w:r>
    </w:p>
    <w:p>
      <w:pPr>
        <w:spacing w:after="120" w:line="360"/>
        <w:jc w:val="both"/>
      </w:pPr>
      <w:r>
        <w:rPr>
          <w:rFonts w:ascii="Times New Roman" w:cs="Times New Roman" w:eastAsia="Times New Roman" w:hAnsi="Times New Roman"/>
          <w:b w:val="false"/>
          <w:bCs w:val="false"/>
          <w:i w:val="false"/>
          <w:iCs w:val="false"/>
          <w:sz w:val="24"/>
          <w:szCs w:val="24"/>
        </w:rPr>
        <w:t xml:space="preserve">Countries Most Affected</w:t>
      </w:r>
    </w:p>
    <w:p>
      <w:pPr>
        <w:spacing w:after="120" w:line="360"/>
        <w:jc w:val="both"/>
      </w:pPr>
      <w:r>
        <w:rPr>
          <w:rFonts w:ascii="Times New Roman" w:cs="Times New Roman" w:eastAsia="Times New Roman" w:hAnsi="Times New Roman"/>
          <w:b w:val="false"/>
          <w:bCs w:val="false"/>
          <w:i w:val="false"/>
          <w:iCs w:val="false"/>
          <w:sz w:val="24"/>
          <w:szCs w:val="24"/>
        </w:rPr>
        <w:t xml:space="preserve">Potential Remedies</w:t>
      </w:r>
    </w:p>
    <w:p>
      <w:pPr>
        <w:spacing w:after="120" w:line="360"/>
        <w:jc w:val="both"/>
      </w:pPr>
      <w:r>
        <w:rPr>
          <w:rFonts w:ascii="Times New Roman" w:cs="Times New Roman" w:eastAsia="Times New Roman" w:hAnsi="Times New Roman"/>
          <w:b w:val="false"/>
          <w:bCs w:val="false"/>
          <w:i w:val="false"/>
          <w:iCs w:val="false"/>
          <w:sz w:val="24"/>
          <w:szCs w:val="24"/>
        </w:rPr>
        <w:t xml:space="preserve">Access Procedures</w:t>
      </w:r>
    </w:p>
    <w:p>
      <w:pPr>
        <w:spacing w:after="120" w:line="360"/>
        <w:jc w:val="both"/>
      </w:pPr>
      <w:r>
        <w:rPr>
          <w:rFonts w:ascii="Times New Roman" w:cs="Times New Roman" w:eastAsia="Times New Roman" w:hAnsi="Times New Roman"/>
          <w:b w:val="false"/>
          <w:bCs w:val="false"/>
          <w:i w:val="false"/>
          <w:iCs w:val="false"/>
          <w:sz w:val="24"/>
          <w:szCs w:val="24"/>
        </w:rPr>
        <w:t xml:space="preserve">Complex accreditation, long approval timelines</w:t>
      </w:r>
    </w:p>
    <w:p>
      <w:pPr>
        <w:spacing w:after="120" w:line="360"/>
        <w:jc w:val="both"/>
      </w:pPr>
      <w:r>
        <w:rPr>
          <w:rFonts w:ascii="Times New Roman" w:cs="Times New Roman" w:eastAsia="Times New Roman" w:hAnsi="Times New Roman"/>
          <w:b w:val="false"/>
          <w:bCs w:val="false"/>
          <w:i w:val="false"/>
          <w:iCs w:val="false"/>
          <w:sz w:val="24"/>
          <w:szCs w:val="24"/>
        </w:rPr>
        <w:t xml:space="preserve">LDCs, SIDS, small island states</w:t>
      </w:r>
    </w:p>
    <w:p>
      <w:pPr>
        <w:spacing w:after="120" w:line="360"/>
        <w:jc w:val="both"/>
      </w:pPr>
      <w:r>
        <w:rPr>
          <w:rFonts w:ascii="Times New Roman" w:cs="Times New Roman" w:eastAsia="Times New Roman" w:hAnsi="Times New Roman"/>
          <w:b w:val="false"/>
          <w:bCs w:val="false"/>
          <w:i w:val="false"/>
          <w:iCs w:val="false"/>
          <w:sz w:val="24"/>
          <w:szCs w:val="24"/>
        </w:rPr>
        <w:t xml:space="preserve">Simplified accreditation, readiness support grants</w:t>
      </w:r>
    </w:p>
    <w:p>
      <w:pPr>
        <w:spacing w:after="120" w:line="360"/>
        <w:jc w:val="both"/>
      </w:pPr>
      <w:r>
        <w:rPr>
          <w:rFonts w:ascii="Times New Roman" w:cs="Times New Roman" w:eastAsia="Times New Roman" w:hAnsi="Times New Roman"/>
          <w:b w:val="false"/>
          <w:bCs w:val="false"/>
          <w:i w:val="false"/>
          <w:iCs w:val="false"/>
          <w:sz w:val="24"/>
          <w:szCs w:val="24"/>
        </w:rPr>
        <w:t xml:space="preserve">Financial Terms</w:t>
      </w:r>
    </w:p>
    <w:p>
      <w:pPr>
        <w:spacing w:after="120" w:line="360"/>
        <w:jc w:val="both"/>
      </w:pPr>
      <w:r>
        <w:rPr>
          <w:rFonts w:ascii="Times New Roman" w:cs="Times New Roman" w:eastAsia="Times New Roman" w:hAnsi="Times New Roman"/>
          <w:b w:val="false"/>
          <w:bCs w:val="false"/>
          <w:i w:val="false"/>
          <w:iCs w:val="false"/>
          <w:sz w:val="24"/>
          <w:szCs w:val="24"/>
        </w:rPr>
        <w:t xml:space="preserve">Loan-heavy portfolios, debt burden, currency risk</w:t>
      </w:r>
    </w:p>
    <w:p>
      <w:pPr>
        <w:spacing w:after="120" w:line="360"/>
        <w:jc w:val="both"/>
      </w:pPr>
      <w:r>
        <w:rPr>
          <w:rFonts w:ascii="Times New Roman" w:cs="Times New Roman" w:eastAsia="Times New Roman" w:hAnsi="Times New Roman"/>
          <w:b w:val="false"/>
          <w:bCs w:val="false"/>
          <w:i w:val="false"/>
          <w:iCs w:val="false"/>
          <w:sz w:val="24"/>
          <w:szCs w:val="24"/>
        </w:rPr>
        <w:t xml:space="preserve">Highly indebted LICs, SIDS</w:t>
      </w:r>
    </w:p>
    <w:p>
      <w:pPr>
        <w:spacing w:after="120" w:line="360"/>
        <w:jc w:val="both"/>
      </w:pPr>
      <w:r>
        <w:rPr>
          <w:rFonts w:ascii="Times New Roman" w:cs="Times New Roman" w:eastAsia="Times New Roman" w:hAnsi="Times New Roman"/>
          <w:b w:val="false"/>
          <w:bCs w:val="false"/>
          <w:i w:val="false"/>
          <w:iCs w:val="false"/>
          <w:sz w:val="24"/>
          <w:szCs w:val="24"/>
        </w:rPr>
        <w:t xml:space="preserve">Grant parity for adaptation, local currency finance</w:t>
      </w:r>
    </w:p>
    <w:p>
      <w:pPr>
        <w:spacing w:after="120" w:line="360"/>
        <w:jc w:val="both"/>
      </w:pPr>
      <w:r>
        <w:rPr>
          <w:rFonts w:ascii="Times New Roman" w:cs="Times New Roman" w:eastAsia="Times New Roman" w:hAnsi="Times New Roman"/>
          <w:b w:val="false"/>
          <w:bCs w:val="false"/>
          <w:i w:val="false"/>
          <w:iCs w:val="false"/>
          <w:sz w:val="24"/>
          <w:szCs w:val="24"/>
        </w:rPr>
        <w:t xml:space="preserve">Conditionality</w:t>
      </w:r>
    </w:p>
    <w:p>
      <w:pPr>
        <w:spacing w:after="120" w:line="360"/>
        <w:jc w:val="both"/>
      </w:pPr>
      <w:r>
        <w:rPr>
          <w:rFonts w:ascii="Times New Roman" w:cs="Times New Roman" w:eastAsia="Times New Roman" w:hAnsi="Times New Roman"/>
          <w:b w:val="false"/>
          <w:bCs w:val="false"/>
          <w:i w:val="false"/>
          <w:iCs w:val="false"/>
          <w:sz w:val="24"/>
          <w:szCs w:val="24"/>
        </w:rPr>
        <w:t xml:space="preserve">Policy reform prerequisites, fiscal conditionality</w:t>
      </w:r>
    </w:p>
    <w:p>
      <w:pPr>
        <w:spacing w:after="120" w:line="360"/>
        <w:jc w:val="both"/>
      </w:pPr>
      <w:r>
        <w:rPr>
          <w:rFonts w:ascii="Times New Roman" w:cs="Times New Roman" w:eastAsia="Times New Roman" w:hAnsi="Times New Roman"/>
          <w:b w:val="false"/>
          <w:bCs w:val="false"/>
          <w:i w:val="false"/>
          <w:iCs w:val="false"/>
          <w:sz w:val="24"/>
          <w:szCs w:val="24"/>
        </w:rPr>
        <w:t xml:space="preserve">LDCs, IDA-eligible countries</w:t>
      </w:r>
    </w:p>
    <w:p>
      <w:pPr>
        <w:spacing w:after="120" w:line="360"/>
        <w:jc w:val="both"/>
      </w:pPr>
      <w:r>
        <w:rPr>
          <w:rFonts w:ascii="Times New Roman" w:cs="Times New Roman" w:eastAsia="Times New Roman" w:hAnsi="Times New Roman"/>
          <w:b w:val="false"/>
          <w:bCs w:val="false"/>
          <w:i w:val="false"/>
          <w:iCs w:val="false"/>
          <w:sz w:val="24"/>
          <w:szCs w:val="24"/>
        </w:rPr>
        <w:t xml:space="preserve">Country-driven approaches, reduced conditionality</w:t>
      </w:r>
    </w:p>
    <w:p>
      <w:pPr>
        <w:spacing w:after="120" w:line="360"/>
        <w:jc w:val="both"/>
      </w:pPr>
      <w:r>
        <w:rPr>
          <w:rFonts w:ascii="Times New Roman" w:cs="Times New Roman" w:eastAsia="Times New Roman" w:hAnsi="Times New Roman"/>
          <w:b w:val="false"/>
          <w:bCs w:val="false"/>
          <w:i w:val="false"/>
          <w:iCs w:val="false"/>
          <w:sz w:val="24"/>
          <w:szCs w:val="24"/>
        </w:rPr>
        <w:t xml:space="preserve">Institutional Capacity</w:t>
      </w:r>
    </w:p>
    <w:p>
      <w:pPr>
        <w:spacing w:after="120" w:line="360"/>
        <w:jc w:val="both"/>
      </w:pPr>
      <w:r>
        <w:rPr>
          <w:rFonts w:ascii="Times New Roman" w:cs="Times New Roman" w:eastAsia="Times New Roman" w:hAnsi="Times New Roman"/>
          <w:b w:val="false"/>
          <w:bCs w:val="false"/>
          <w:i w:val="false"/>
          <w:iCs w:val="false"/>
          <w:sz w:val="24"/>
          <w:szCs w:val="24"/>
        </w:rPr>
        <w:t xml:space="preserve">Fiduciary standards gap, limited technical staff</w:t>
      </w:r>
    </w:p>
    <w:p>
      <w:pPr>
        <w:spacing w:after="120" w:line="360"/>
        <w:jc w:val="both"/>
      </w:pPr>
      <w:r>
        <w:rPr>
          <w:rFonts w:ascii="Times New Roman" w:cs="Times New Roman" w:eastAsia="Times New Roman" w:hAnsi="Times New Roman"/>
          <w:b w:val="false"/>
          <w:bCs w:val="false"/>
          <w:i w:val="false"/>
          <w:iCs w:val="false"/>
          <w:sz w:val="24"/>
          <w:szCs w:val="24"/>
        </w:rPr>
        <w:t xml:space="preserve">Fragile states, SIDS, LDCs</w:t>
      </w:r>
    </w:p>
    <w:p>
      <w:pPr>
        <w:spacing w:after="120" w:line="360"/>
        <w:jc w:val="both"/>
      </w:pPr>
      <w:r>
        <w:rPr>
          <w:rFonts w:ascii="Times New Roman" w:cs="Times New Roman" w:eastAsia="Times New Roman" w:hAnsi="Times New Roman"/>
          <w:b w:val="false"/>
          <w:bCs w:val="false"/>
          <w:i w:val="false"/>
          <w:iCs w:val="false"/>
          <w:sz w:val="24"/>
          <w:szCs w:val="24"/>
        </w:rPr>
        <w:t xml:space="preserve">Capacity building finance, direct access support</w:t>
      </w:r>
    </w:p>
    <w:p>
      <w:pPr>
        <w:spacing w:after="120" w:line="360"/>
        <w:jc w:val="both"/>
      </w:pPr>
      <w:r>
        <w:rPr>
          <w:rFonts w:ascii="Times New Roman" w:cs="Times New Roman" w:eastAsia="Times New Roman" w:hAnsi="Times New Roman"/>
          <w:b w:val="false"/>
          <w:bCs w:val="false"/>
          <w:i w:val="false"/>
          <w:iCs w:val="false"/>
          <w:sz w:val="24"/>
          <w:szCs w:val="24"/>
        </w:rPr>
        <w:t xml:space="preserve">Governance Asymmetry</w:t>
      </w:r>
    </w:p>
    <w:p>
      <w:pPr>
        <w:spacing w:after="120" w:line="360"/>
        <w:jc w:val="both"/>
      </w:pPr>
      <w:r>
        <w:rPr>
          <w:rFonts w:ascii="Times New Roman" w:cs="Times New Roman" w:eastAsia="Times New Roman" w:hAnsi="Times New Roman"/>
          <w:b w:val="false"/>
          <w:bCs w:val="false"/>
          <w:i w:val="false"/>
          <w:iCs w:val="false"/>
          <w:sz w:val="24"/>
          <w:szCs w:val="24"/>
        </w:rPr>
        <w:t xml:space="preserve">Donor-dominated decision-making, limited voice</w:t>
      </w:r>
    </w:p>
    <w:p>
      <w:pPr>
        <w:spacing w:after="120" w:line="360"/>
        <w:jc w:val="both"/>
      </w:pPr>
      <w:r>
        <w:rPr>
          <w:rFonts w:ascii="Times New Roman" w:cs="Times New Roman" w:eastAsia="Times New Roman" w:hAnsi="Times New Roman"/>
          <w:b w:val="false"/>
          <w:bCs w:val="false"/>
          <w:i w:val="false"/>
          <w:iCs w:val="false"/>
          <w:sz w:val="24"/>
          <w:szCs w:val="24"/>
        </w:rPr>
        <w:t xml:space="preserve">All Global South, esp. LDCs/SIDS</w:t>
      </w:r>
    </w:p>
    <w:p>
      <w:pPr>
        <w:spacing w:after="120" w:line="360"/>
        <w:jc w:val="both"/>
      </w:pPr>
      <w:r>
        <w:rPr>
          <w:rFonts w:ascii="Times New Roman" w:cs="Times New Roman" w:eastAsia="Times New Roman" w:hAnsi="Times New Roman"/>
          <w:b w:val="false"/>
          <w:bCs w:val="false"/>
          <w:i w:val="false"/>
          <w:iCs w:val="false"/>
          <w:sz w:val="24"/>
          <w:szCs w:val="24"/>
        </w:rPr>
        <w:t xml:space="preserve">Voting reform, enhanced recipient representation</w:t>
      </w:r>
    </w:p>
    <w:p>
      <w:pPr>
        <w:spacing w:after="120" w:line="360"/>
        <w:jc w:val="both"/>
      </w:pPr>
      <w:r>
        <w:rPr>
          <w:rFonts w:ascii="Times New Roman" w:cs="Times New Roman" w:eastAsia="Times New Roman" w:hAnsi="Times New Roman"/>
          <w:b w:val="false"/>
          <w:bCs w:val="false"/>
          <w:i w:val="false"/>
          <w:iCs w:val="false"/>
          <w:sz w:val="24"/>
          <w:szCs w:val="24"/>
        </w:rPr>
        <w:t xml:space="preserve">Information Asymmetry</w:t>
      </w:r>
    </w:p>
    <w:p>
      <w:pPr>
        <w:spacing w:after="120" w:line="360"/>
        <w:jc w:val="both"/>
      </w:pPr>
      <w:r>
        <w:rPr>
          <w:rFonts w:ascii="Times New Roman" w:cs="Times New Roman" w:eastAsia="Times New Roman" w:hAnsi="Times New Roman"/>
          <w:b w:val="false"/>
          <w:bCs w:val="false"/>
          <w:i w:val="false"/>
          <w:iCs w:val="false"/>
          <w:sz w:val="24"/>
          <w:szCs w:val="24"/>
        </w:rPr>
        <w:t xml:space="preserve">Complex reporting, lack of clear guidelines</w:t>
      </w:r>
    </w:p>
    <w:p>
      <w:pPr>
        <w:spacing w:after="120" w:line="360"/>
        <w:jc w:val="both"/>
      </w:pPr>
      <w:r>
        <w:rPr>
          <w:rFonts w:ascii="Times New Roman" w:cs="Times New Roman" w:eastAsia="Times New Roman" w:hAnsi="Times New Roman"/>
          <w:b w:val="false"/>
          <w:bCs w:val="false"/>
          <w:i w:val="false"/>
          <w:iCs w:val="false"/>
          <w:sz w:val="24"/>
          <w:szCs w:val="24"/>
        </w:rPr>
        <w:t xml:space="preserve">Small national entities</w:t>
      </w:r>
    </w:p>
    <w:p>
      <w:pPr>
        <w:spacing w:after="120" w:line="360"/>
        <w:jc w:val="both"/>
      </w:pPr>
      <w:r>
        <w:rPr>
          <w:rFonts w:ascii="Times New Roman" w:cs="Times New Roman" w:eastAsia="Times New Roman" w:hAnsi="Times New Roman"/>
          <w:b w:val="false"/>
          <w:bCs w:val="false"/>
          <w:i w:val="false"/>
          <w:iCs w:val="false"/>
          <w:sz w:val="24"/>
          <w:szCs w:val="24"/>
        </w:rPr>
        <w:t xml:space="preserve">Standardised MRV, simplified reporting templates</w:t>
      </w:r>
    </w:p>
    <w:p>
      <w:pPr>
        <w:spacing w:after="120" w:line="360"/>
        <w:jc w:val="both"/>
      </w:pPr>
      <w:r>
        <w:rPr>
          <w:rFonts w:ascii="Times New Roman" w:cs="Times New Roman" w:eastAsia="Times New Roman" w:hAnsi="Times New Roman"/>
          <w:b w:val="false"/>
          <w:bCs w:val="false"/>
          <w:i w:val="false"/>
          <w:iCs w:val="false"/>
          <w:sz w:val="24"/>
          <w:szCs w:val="24"/>
        </w:rPr>
        <w:t xml:space="preserve">Market Risk</w:t>
      </w:r>
    </w:p>
    <w:p>
      <w:pPr>
        <w:spacing w:after="120" w:line="360"/>
        <w:jc w:val="both"/>
      </w:pPr>
      <w:r>
        <w:rPr>
          <w:rFonts w:ascii="Times New Roman" w:cs="Times New Roman" w:eastAsia="Times New Roman" w:hAnsi="Times New Roman"/>
          <w:b w:val="false"/>
          <w:bCs w:val="false"/>
          <w:i w:val="false"/>
          <w:iCs w:val="false"/>
          <w:sz w:val="24"/>
          <w:szCs w:val="24"/>
        </w:rPr>
        <w:t xml:space="preserve">Currency volatility, political risk perceptions</w:t>
      </w:r>
    </w:p>
    <w:p>
      <w:pPr>
        <w:spacing w:after="120" w:line="360"/>
        <w:jc w:val="both"/>
      </w:pPr>
      <w:r>
        <w:rPr>
          <w:rFonts w:ascii="Times New Roman" w:cs="Times New Roman" w:eastAsia="Times New Roman" w:hAnsi="Times New Roman"/>
          <w:b w:val="false"/>
          <w:bCs w:val="false"/>
          <w:i w:val="false"/>
          <w:iCs w:val="false"/>
          <w:sz w:val="24"/>
          <w:szCs w:val="24"/>
        </w:rPr>
        <w:t xml:space="preserve">Frontier market economies</w:t>
      </w:r>
    </w:p>
    <w:p>
      <w:pPr>
        <w:spacing w:after="120" w:line="360"/>
        <w:jc w:val="both"/>
      </w:pPr>
      <w:r>
        <w:rPr>
          <w:rFonts w:ascii="Times New Roman" w:cs="Times New Roman" w:eastAsia="Times New Roman" w:hAnsi="Times New Roman"/>
          <w:b w:val="false"/>
          <w:bCs w:val="false"/>
          <w:i w:val="false"/>
          <w:iCs w:val="false"/>
          <w:sz w:val="24"/>
          <w:szCs w:val="24"/>
        </w:rPr>
        <w:t xml:space="preserve">FX hedging, risk guarantees, political risk insurance</w:t>
      </w:r>
    </w:p>
    <w:p>
      <w:pPr>
        <w:spacing w:after="120" w:line="360"/>
        <w:jc w:val="both"/>
      </w:pPr>
      <w:r>
        <w:rPr>
          <w:rFonts w:ascii="Times New Roman" w:cs="Times New Roman" w:eastAsia="Times New Roman" w:hAnsi="Times New Roman"/>
          <w:b w:val="false"/>
          <w:bCs w:val="false"/>
          <w:i w:val="false"/>
          <w:iCs w:val="false"/>
          <w:sz w:val="24"/>
          <w:szCs w:val="24"/>
        </w:rPr>
        <w:t xml:space="preserve">Table 1.2: Structural Barriers to Climate Finance Access in the Global South with Indicative Remedies</w:t>
      </w:r>
    </w:p>
    <w:p>
      <w:pPr>
        <w:spacing w:after="120" w:line="360"/>
        <w:jc w:val="both"/>
      </w:pPr>
      <w:r>
        <w:rPr>
          <w:rFonts w:ascii="Times New Roman" w:cs="Times New Roman" w:eastAsia="Times New Roman" w:hAnsi="Times New Roman"/>
          <w:b w:val="false"/>
          <w:bCs w:val="false"/>
          <w:i w:val="false"/>
          <w:iCs w:val="false"/>
          <w:sz w:val="24"/>
          <w:szCs w:val="24"/>
        </w:rPr>
        <w:t xml:space="preserve">6  Toward a Justice-Centred Reform Agenda for Climate Finance</w:t>
      </w:r>
    </w:p>
    <w:p>
      <w:pPr>
        <w:spacing w:after="120" w:line="360"/>
        <w:jc w:val="both"/>
      </w:pPr>
      <w:r>
        <w:rPr>
          <w:rFonts w:ascii="Times New Roman" w:cs="Times New Roman" w:eastAsia="Times New Roman" w:hAnsi="Times New Roman"/>
          <w:b/>
          <w:bCs/>
          <w:i w:val="false"/>
          <w:iCs w:val="false"/>
          <w:sz w:val="28"/>
          <w:szCs w:val="28"/>
        </w:rPr>
        <w:t xml:space="preserve">6.1  SCALING GRANT-BASED ADAPTATION FINANCE</w:t>
      </w:r>
    </w:p>
    <w:p>
      <w:pPr>
        <w:spacing w:after="120" w:line="360"/>
        <w:jc w:val="both"/>
      </w:pPr>
      <w:r>
        <w:rPr>
          <w:rFonts w:ascii="Times New Roman" w:cs="Times New Roman" w:eastAsia="Times New Roman" w:hAnsi="Times New Roman"/>
          <w:b w:val="false"/>
          <w:bCs w:val="false"/>
          <w:i w:val="false"/>
          <w:iCs w:val="false"/>
          <w:sz w:val="24"/>
          <w:szCs w:val="24"/>
        </w:rPr>
        <w:t xml:space="preserve">A major shift from loan-based financing to grant-based adaptation financing for the most vulnerable nations is the most pressing need for a justice-centered climate finance reform. The economic justification for this change is strong: investments in adaptation, such as flood defenses, drought-resistant farming, early warning systems, and mangrove restoration, produce societal benefits that project revenues are unable to cover, making them unable to pay off debt. A category error that consistently underfunds the nations with the greatest physical climate threats is treating adaptation as an economically viable endeavor [40].</w:t>
      </w:r>
    </w:p>
    <w:p>
      <w:pPr>
        <w:spacing w:after="120" w:line="360"/>
        <w:jc w:val="both"/>
      </w:pPr>
      <w:r>
        <w:rPr>
          <w:rFonts w:ascii="Times New Roman" w:cs="Times New Roman" w:eastAsia="Times New Roman" w:hAnsi="Times New Roman"/>
          <w:b w:val="false"/>
          <w:bCs w:val="false"/>
          <w:i w:val="false"/>
          <w:iCs w:val="false"/>
          <w:sz w:val="24"/>
          <w:szCs w:val="24"/>
        </w:rPr>
        <w:t xml:space="preserve">A specific goal would be to guarantee that at least 50% of all public climate finance to SIDS and least developed nations comes in the form of outright grants, with the remaining 50% given on extremely favorable terms with interest rates of less than 1% and maturity periods of at least 30 years. Grant-giving organizations, particularly the GCF's Adaptation Fund and LDC Fund, would need to greatly raise their capitalization in order to do this. Furthermore, multilateral development banks would have to change their methods since they have historically used climate funding to expand their loan portfolios rather than to provide more grant resources [41].</w:t>
      </w:r>
    </w:p>
    <w:p>
      <w:pPr>
        <w:spacing w:after="120" w:line="360"/>
        <w:jc w:val="both"/>
      </w:pPr>
      <w:r>
        <w:rPr>
          <w:rFonts w:ascii="Times New Roman" w:cs="Times New Roman" w:eastAsia="Times New Roman" w:hAnsi="Times New Roman"/>
          <w:b/>
          <w:bCs/>
          <w:i w:val="false"/>
          <w:iCs w:val="false"/>
          <w:sz w:val="28"/>
          <w:szCs w:val="28"/>
        </w:rPr>
        <w:t xml:space="preserve">6.2  SIMPLIFYING ACCESS AND STRENGTHENING DIRECT ACCESS MODALITIES</w:t>
      </w:r>
    </w:p>
    <w:p>
      <w:pPr>
        <w:spacing w:after="120" w:line="360"/>
        <w:jc w:val="both"/>
      </w:pPr>
      <w:r>
        <w:rPr>
          <w:rFonts w:ascii="Times New Roman" w:cs="Times New Roman" w:eastAsia="Times New Roman" w:hAnsi="Times New Roman"/>
          <w:b w:val="false"/>
          <w:bCs w:val="false"/>
          <w:i w:val="false"/>
          <w:iCs w:val="false"/>
          <w:sz w:val="24"/>
          <w:szCs w:val="24"/>
        </w:rPr>
        <w:t xml:space="preserve">One of the main demands of the governments of the Global South and a declared priority of the GCF and related funds is direct access, or the ability of national institutions in poor nations to obtain climate funding without going via international implementing companies. In reality, the stringent standards for certification and the scant preparatory assistance provided to prospective national implementing institutions have hampered the quality of direct access. In the least developed nations, national environmental funds and development finance organizations should receive multi-year readiness grants under a reformed system. These grants should cover both the institutional development and accreditation costs necessary to create long-lasting climate finance delivery systems [42].</w:t>
      </w:r>
    </w:p>
    <w:p>
      <w:pPr>
        <w:spacing w:after="120" w:line="360"/>
        <w:jc w:val="both"/>
      </w:pPr>
      <w:r>
        <w:rPr>
          <w:rFonts w:ascii="Times New Roman" w:cs="Times New Roman" w:eastAsia="Times New Roman" w:hAnsi="Times New Roman"/>
          <w:b w:val="false"/>
          <w:bCs w:val="false"/>
          <w:i w:val="false"/>
          <w:iCs w:val="false"/>
          <w:sz w:val="24"/>
          <w:szCs w:val="24"/>
        </w:rPr>
        <w:t xml:space="preserve">Simultaneously, rather than being based on the criteria suitable for big infrastructure loans, the fiduciary standards used to small-scale adaption initiatives should be calibrated to the real risk of the transaction. The same procurement control and financial reporting standards that apply to a USD 200 million geothermal energy project do not apply to a tiny rainwater gathering project in a Pacific island community. Although some funds have already recognized proportionality in safeguard application in theory, it should be applied methodically and backed with streamlined template paperwork [43].</w:t>
      </w:r>
    </w:p>
    <w:p>
      <w:pPr>
        <w:spacing w:after="120" w:line="360"/>
        <w:jc w:val="both"/>
      </w:pPr>
      <w:r>
        <w:rPr>
          <w:rFonts w:ascii="Times New Roman" w:cs="Times New Roman" w:eastAsia="Times New Roman" w:hAnsi="Times New Roman"/>
          <w:b/>
          <w:bCs/>
          <w:i w:val="false"/>
          <w:iCs w:val="false"/>
          <w:sz w:val="28"/>
          <w:szCs w:val="28"/>
        </w:rPr>
        <w:t xml:space="preserve">6.3  REFORMING THE INTERNATIONAL FINANCIAL ARCHITECTURE</w:t>
      </w:r>
    </w:p>
    <w:p>
      <w:pPr>
        <w:spacing w:after="120" w:line="360"/>
        <w:jc w:val="both"/>
      </w:pPr>
      <w:r>
        <w:rPr>
          <w:rFonts w:ascii="Times New Roman" w:cs="Times New Roman" w:eastAsia="Times New Roman" w:hAnsi="Times New Roman"/>
          <w:b w:val="false"/>
          <w:bCs w:val="false"/>
          <w:i w:val="false"/>
          <w:iCs w:val="false"/>
          <w:sz w:val="24"/>
          <w:szCs w:val="24"/>
        </w:rPr>
        <w:t xml:space="preserve">It is impossible to discuss the climate finance reform agenda separately from the larger international financial architecture transformation. The Bridgetown Initiative's recommendations, which include the creation of a global climate vulnerability facility, the reallocation of Special Drawing Rights to climate-vulnerable nations, the establishment of automatic debt service suspension mechanisms triggered by climate disasters, and the expansion of multilateral development banks' balance sheets through more aggressive use of their callable capital, constitute a cohesive package of structural reforms that would significantly increase the ability of Global South nations to finance their climate responses [44].</w:t>
      </w:r>
    </w:p>
    <w:p>
      <w:pPr>
        <w:spacing w:after="120" w:line="360"/>
        <w:jc w:val="both"/>
      </w:pPr>
      <w:r>
        <w:rPr>
          <w:rFonts w:ascii="Times New Roman" w:cs="Times New Roman" w:eastAsia="Times New Roman" w:hAnsi="Times New Roman"/>
          <w:b w:val="false"/>
          <w:bCs w:val="false"/>
          <w:i w:val="false"/>
          <w:iCs w:val="false"/>
          <w:sz w:val="24"/>
          <w:szCs w:val="24"/>
        </w:rPr>
        <w:t xml:space="preserve">Climate-vulnerable nations' debt cancellation is no longer a fringe demand. Both equity principles and economic rationality support the case for canceling the debts of nations where climate-related shocks are the primary cause of debt distress or where debt service obligations are impeding necessary investments in climate adaptation. A nation in debt distress is unable to invest in the resilience required to avert future climate-related economic disruption. A more ambitious plan based on the HIPC plan of the late 1990s that specifically targets climate-vulnerable countries requires serious attention, as the G20's Common Framework for debt treatment has proven to be too slow and too narrow in scope [45].</w:t>
      </w:r>
    </w:p>
    <w:p>
      <w:pPr>
        <w:spacing w:after="120" w:line="360"/>
        <w:jc w:val="both"/>
      </w:pPr>
      <w:r>
        <w:rPr>
          <w:rFonts w:ascii="Times New Roman" w:cs="Times New Roman" w:eastAsia="Times New Roman" w:hAnsi="Times New Roman"/>
          <w:b/>
          <w:bCs/>
          <w:i w:val="false"/>
          <w:iCs w:val="false"/>
          <w:sz w:val="28"/>
          <w:szCs w:val="28"/>
        </w:rPr>
        <w:t xml:space="preserve">6.4  ENSURING COMMUNITY VOICE AND GENDER-RESPONSIVE APPROACHES</w:t>
      </w:r>
    </w:p>
    <w:p>
      <w:pPr>
        <w:spacing w:after="120" w:line="360"/>
        <w:jc w:val="both"/>
      </w:pPr>
      <w:r>
        <w:rPr>
          <w:rFonts w:ascii="Times New Roman" w:cs="Times New Roman" w:eastAsia="Times New Roman" w:hAnsi="Times New Roman"/>
          <w:b w:val="false"/>
          <w:bCs w:val="false"/>
          <w:i w:val="false"/>
          <w:iCs w:val="false"/>
          <w:sz w:val="24"/>
          <w:szCs w:val="24"/>
        </w:rPr>
        <w:t xml:space="preserve">If the people most impacted by climate change do not have a significant say in how the funds are used, climate finance cannot be just. In order to achieve procedural and recognition justice, real community involvement in project identification, design, implementation supervision, and benefit assessment must replace token consultation. This entails funding community-led adaptation programs that directly address locally recognized priorities and make use of indigenous ecological knowledge, even if they may not receive high marks on traditional project readiness assessments [46].</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crucial aspect of just finance is gender-responsive climate finance, which makes sure that women, who disproportionately face the costs of climate impacts in agricultural and care sectors, are both consulted in planning processes and positioned as direct beneficiaries and decision-makers. Although the GCF's Gender Policy and Action Plan provide a formal framework, there is still a lack of gender-disaggregated data on climate funding results, and implementation has been patchy [47]. A practical step toward operationalizing this promise would be to require gender impact assessments for all publicly funded climate solutions, along with minimum quotas for women's participation in project governance structures.</w:t>
      </w:r>
    </w:p>
    <w:p>
      <w:pPr>
        <w:spacing w:after="120" w:line="360"/>
        <w:jc w:val="both"/>
      </w:pPr>
      <w:r>
        <w:rPr>
          <w:rFonts w:ascii="Times New Roman" w:cs="Times New Roman" w:eastAsia="Times New Roman" w:hAnsi="Times New Roman"/>
          <w:b w:val="false"/>
          <w:bCs w:val="false"/>
          <w:i w:val="false"/>
          <w:iCs w:val="false"/>
          <w:sz w:val="24"/>
          <w:szCs w:val="24"/>
        </w:rPr>
        <w:t xml:space="preserve">7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The current global climate finance structure is structurally incompatible with the demands of climate justice and the developmental requirements of the Global South. Its instruments impose debt burdens on nations least responsible for the emissions driving their climate exposure; its governance structures systematically marginalize the voices of the communities most affected by climate change; and its mechanisms disproportionately benefit nations with stronger institutional capacity and more commercially bankable investment opportunities. These are structural elements that represent the power imbalances of the global economic system in which climate funding functions, not accidental design defects.</w:t>
      </w:r>
    </w:p>
    <w:p>
      <w:pPr>
        <w:spacing w:after="120" w:line="360"/>
        <w:jc w:val="both"/>
      </w:pPr>
      <w:r>
        <w:rPr>
          <w:rFonts w:ascii="Times New Roman" w:cs="Times New Roman" w:eastAsia="Times New Roman" w:hAnsi="Times New Roman"/>
          <w:b w:val="false"/>
          <w:bCs w:val="false"/>
          <w:i w:val="false"/>
          <w:iCs w:val="false"/>
          <w:sz w:val="24"/>
          <w:szCs w:val="24"/>
        </w:rPr>
        <w:t xml:space="preserve">The example studies discussed in this chapter—the existential fragility of SIDS, the divided success of renewable energy in India, and the vast adaptation deficit in sub-Saharan Africa—showcase both the shortcomings of the present flows and the pressing need for a radically new strategy. The terms are unsuitable, the governance is not democratic, and the amount of resources supplied is inadequate. Due to their interdependence, these three issues need to be handled collectively.</w:t>
      </w:r>
    </w:p>
    <w:p>
      <w:pPr>
        <w:spacing w:after="120" w:line="360"/>
        <w:jc w:val="both"/>
      </w:pPr>
      <w:r>
        <w:rPr>
          <w:rFonts w:ascii="Times New Roman" w:cs="Times New Roman" w:eastAsia="Times New Roman" w:hAnsi="Times New Roman"/>
          <w:b w:val="false"/>
          <w:bCs w:val="false"/>
          <w:i w:val="false"/>
          <w:iCs w:val="false"/>
          <w:sz w:val="24"/>
          <w:szCs w:val="24"/>
        </w:rPr>
        <w:t xml:space="preserve">A justice-centered reform agenda must prioritize grant-based adaptation finance for the most vulnerable, streamline and facilitate direct access mechanisms, change the macroeconomic and debt structures that impede the climate response of developing nations, and guarantee that the communities most impacted by climate change have real control over the choices that determine their future. An important chance to incorporate these ideas into the global climate finance framework is presented by the New Collective Quantified objective on climate finance, which successor negotiations to the USD 100 billion objective must develop by 2025. The political resolve of wealthy nations to uphold the moral and historical obligations that climate change has exposed will determine whether or not that chance is taken advantage of, in addition to technical negotiations.</w:t>
      </w:r>
    </w:p>
    <w:p>
      <w:pPr>
        <w:spacing w:after="120" w:line="360"/>
        <w:jc w:val="both"/>
      </w:pPr>
      <w:r>
        <w:rPr>
          <w:rFonts w:ascii="Times New Roman" w:cs="Times New Roman" w:eastAsia="Times New Roman" w:hAnsi="Times New Roman"/>
          <w:b w:val="false"/>
          <w:bCs w:val="false"/>
          <w:i w:val="false"/>
          <w:iCs w:val="false"/>
          <w:sz w:val="24"/>
          <w:szCs w:val="24"/>
        </w:rPr>
        <w:t xml:space="preserve">Developing more reliable methods for monitoring adaptation finance results broken down by vulnerability and income level, assessing the effectiveness of direct access modalities in providing climate benefits at the community level, analyzing the distributional effects of Article 6 carbon market mechanisms among host country communities, and modeling the macroeconomic ramifications of various climate debt relief scenarios for extremely vulnerable developing nations are some of the future research priorities. This chapter has attempted to add to the expanding corpus of research that demands that climate financing be assessed as a component of global justice rather than only as a technical financial tool.</w:t>
      </w:r>
    </w:p>
    <w:p>
      <w:pPr>
        <w:spacing w:after="120" w:line="360"/>
        <w:jc w:val="both"/>
      </w:pPr>
      <w:r>
        <w:rPr>
          <w:rFonts w:ascii="Times New Roman" w:cs="Times New Roman" w:eastAsia="Times New Roman" w:hAnsi="Times New Roman"/>
          <w:b w:val="false"/>
          <w:bCs w:val="false"/>
          <w:i w:val="false"/>
          <w:iCs w:val="false"/>
          <w:sz w:val="24"/>
          <w:szCs w:val="24"/>
        </w:rPr>
        <w:t xml:space="preserve">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[1]  Buchner, B., Clark, A., Falconer, A., Macquarie, R., Meattle, C., Tolentino, R., &amp; Wetherbee, C. (2021). Global Landscape of Climate Finance 2021. Climate Policy Initiative. https://www.climatepolicyinitiative.org</w:t>
      </w:r>
    </w:p>
    <w:p>
      <w:pPr>
        <w:spacing w:after="120" w:line="360"/>
        <w:jc w:val="both"/>
      </w:pPr>
      <w:r>
        <w:rPr>
          <w:rFonts w:ascii="Times New Roman" w:cs="Times New Roman" w:eastAsia="Times New Roman" w:hAnsi="Times New Roman"/>
          <w:b w:val="false"/>
          <w:bCs w:val="false"/>
          <w:i w:val="false"/>
          <w:iCs w:val="false"/>
          <w:sz w:val="24"/>
          <w:szCs w:val="24"/>
        </w:rPr>
        <w:t xml:space="preserve">[2]  Bhattacharya, A., Calland, R., Averchenkova, A., Gonzalez, L., Martinez-Diaz, L., &amp; van Rooij, J. (2022). Delivering on the $100 Billion Climate Finance Commitment and Transforming Climate Finance. Independent Expert Group on Climate Finance.</w:t>
      </w:r>
    </w:p>
    <w:p>
      <w:pPr>
        <w:spacing w:after="120" w:line="360"/>
        <w:jc w:val="both"/>
      </w:pPr>
      <w:r>
        <w:rPr>
          <w:rFonts w:ascii="Times New Roman" w:cs="Times New Roman" w:eastAsia="Times New Roman" w:hAnsi="Times New Roman"/>
          <w:b w:val="false"/>
          <w:bCs w:val="false"/>
          <w:i w:val="false"/>
          <w:iCs w:val="false"/>
          <w:sz w:val="24"/>
          <w:szCs w:val="24"/>
        </w:rPr>
        <w:t xml:space="preserve">[3]  Mottley, M. A. (2022). The Bridgetown Initiative for the Reform of the Global Financial Architecture. Government of Barbados. Available at: https://www.gov.bb</w:t>
      </w:r>
    </w:p>
    <w:p>
      <w:pPr>
        <w:spacing w:after="120" w:line="360"/>
        <w:jc w:val="both"/>
      </w:pPr>
      <w:r>
        <w:rPr>
          <w:rFonts w:ascii="Times New Roman" w:cs="Times New Roman" w:eastAsia="Times New Roman" w:hAnsi="Times New Roman"/>
          <w:b w:val="false"/>
          <w:bCs w:val="false"/>
          <w:i w:val="false"/>
          <w:iCs w:val="false"/>
          <w:sz w:val="24"/>
          <w:szCs w:val="24"/>
        </w:rPr>
        <w:t xml:space="preserve">[4]  UNFCCC Standing Committee on Finance. (2021). Biennial Assessment and Overview of Climate Finance Flows: 2020. UNFCCC Secretariat, Bonn.</w:t>
      </w:r>
    </w:p>
    <w:p>
      <w:pPr>
        <w:spacing w:after="120" w:line="360"/>
        <w:jc w:val="both"/>
      </w:pPr>
      <w:r>
        <w:rPr>
          <w:rFonts w:ascii="Times New Roman" w:cs="Times New Roman" w:eastAsia="Times New Roman" w:hAnsi="Times New Roman"/>
          <w:b w:val="false"/>
          <w:bCs w:val="false"/>
          <w:i w:val="false"/>
          <w:iCs w:val="false"/>
          <w:sz w:val="24"/>
          <w:szCs w:val="24"/>
        </w:rPr>
        <w:t xml:space="preserve">[5]  Oxfam International. (2023). Climate Finance Shadow Report 2023: Assessing the Delivery of the $100 Billion Commitment. Oxfam International. Oxford.</w:t>
      </w:r>
    </w:p>
    <w:p>
      <w:pPr>
        <w:spacing w:after="120" w:line="360"/>
        <w:jc w:val="both"/>
      </w:pPr>
      <w:r>
        <w:rPr>
          <w:rFonts w:ascii="Times New Roman" w:cs="Times New Roman" w:eastAsia="Times New Roman" w:hAnsi="Times New Roman"/>
          <w:b w:val="false"/>
          <w:bCs w:val="false"/>
          <w:i w:val="false"/>
          <w:iCs w:val="false"/>
          <w:sz w:val="24"/>
          <w:szCs w:val="24"/>
        </w:rPr>
        <w:t xml:space="preserve">[6]  Volz, U., Akhtar, S., Gallagher, K. P., Griffith-Jones, S., Haas, J., &amp; Kraemer, M. (2021). Debt Relief for a Green and Inclusive Recovery: Securing Private Creditor Participation. Boston University Global Development Policy Center.</w:t>
      </w:r>
    </w:p>
    <w:p>
      <w:pPr>
        <w:spacing w:after="120" w:line="360"/>
        <w:jc w:val="both"/>
      </w:pPr>
      <w:r>
        <w:rPr>
          <w:rFonts w:ascii="Times New Roman" w:cs="Times New Roman" w:eastAsia="Times New Roman" w:hAnsi="Times New Roman"/>
          <w:b w:val="false"/>
          <w:bCs w:val="false"/>
          <w:i w:val="false"/>
          <w:iCs w:val="false"/>
          <w:sz w:val="24"/>
          <w:szCs w:val="24"/>
        </w:rPr>
        <w:t xml:space="preserve">[7]  Okereke, C., &amp; Coventry, P. (2016). Climate justice and the international regime: before, during, and after Paris. WIREs Climate Change, 7(6), 834–851. https://doi.org/10.1002/wcc.419</w:t>
      </w:r>
    </w:p>
    <w:p>
      <w:pPr>
        <w:spacing w:after="120" w:line="360"/>
        <w:jc w:val="both"/>
      </w:pPr>
      <w:r>
        <w:rPr>
          <w:rFonts w:ascii="Times New Roman" w:cs="Times New Roman" w:eastAsia="Times New Roman" w:hAnsi="Times New Roman"/>
          <w:b w:val="false"/>
          <w:bCs w:val="false"/>
          <w:i w:val="false"/>
          <w:iCs w:val="false"/>
          <w:sz w:val="24"/>
          <w:szCs w:val="24"/>
        </w:rPr>
        <w:t xml:space="preserve">[8]  Klinsky, S., Roberts, J. T., Huq, S., Okereke, C., Newell, P., Dauvergne, P., &amp; Bauer, S. (2017). Why equity is fundamental in climate change policy research. Global Environmental Change, 44, 170–173.</w:t>
      </w:r>
    </w:p>
    <w:p>
      <w:pPr>
        <w:spacing w:after="120" w:line="360"/>
        <w:jc w:val="both"/>
      </w:pPr>
      <w:r>
        <w:rPr>
          <w:rFonts w:ascii="Times New Roman" w:cs="Times New Roman" w:eastAsia="Times New Roman" w:hAnsi="Times New Roman"/>
          <w:b w:val="false"/>
          <w:bCs w:val="false"/>
          <w:i w:val="false"/>
          <w:iCs w:val="false"/>
          <w:sz w:val="24"/>
          <w:szCs w:val="24"/>
        </w:rPr>
        <w:t xml:space="preserve">[9]  Sachs, J. D., Schmidt-Traub, G., Mazzucato, M., Messner, D., Nakicenovic, N., &amp; Rockström, J. (2019). Six transformations to achieve the Sustainable Development Goals. Nature Sustainability, 2(9), 805–814.</w:t>
      </w:r>
    </w:p>
    <w:p>
      <w:pPr>
        <w:spacing w:after="120" w:line="360"/>
        <w:jc w:val="both"/>
      </w:pPr>
      <w:r>
        <w:rPr>
          <w:rFonts w:ascii="Times New Roman" w:cs="Times New Roman" w:eastAsia="Times New Roman" w:hAnsi="Times New Roman"/>
          <w:b w:val="false"/>
          <w:bCs w:val="false"/>
          <w:i w:val="false"/>
          <w:iCs w:val="false"/>
          <w:sz w:val="24"/>
          <w:szCs w:val="24"/>
        </w:rPr>
        <w:t xml:space="preserve">[10]  UNFCCC. (2015). Paris Agreement. United Nations Framework Convention on Climate Change. FCCC/CP/2015/10/Add.1.</w:t>
      </w:r>
    </w:p>
    <w:p>
      <w:pPr>
        <w:spacing w:after="120" w:line="360"/>
        <w:jc w:val="both"/>
      </w:pPr>
      <w:r>
        <w:rPr>
          <w:rFonts w:ascii="Times New Roman" w:cs="Times New Roman" w:eastAsia="Times New Roman" w:hAnsi="Times New Roman"/>
          <w:b w:val="false"/>
          <w:bCs w:val="false"/>
          <w:i w:val="false"/>
          <w:iCs w:val="false"/>
          <w:sz w:val="24"/>
          <w:szCs w:val="24"/>
        </w:rPr>
        <w:t xml:space="preserve">[11]  IPCC. (2022). Climate Change 2022: Mitigation of Climate Change. Contribution of Working Group III to the Sixth Assessment Report. Cambridge University Press.</w:t>
      </w:r>
    </w:p>
    <w:p>
      <w:pPr>
        <w:spacing w:after="120" w:line="360"/>
        <w:jc w:val="both"/>
      </w:pPr>
      <w:r>
        <w:rPr>
          <w:rFonts w:ascii="Times New Roman" w:cs="Times New Roman" w:eastAsia="Times New Roman" w:hAnsi="Times New Roman"/>
          <w:b w:val="false"/>
          <w:bCs w:val="false"/>
          <w:i w:val="false"/>
          <w:iCs w:val="false"/>
          <w:sz w:val="24"/>
          <w:szCs w:val="24"/>
        </w:rPr>
        <w:t xml:space="preserve">[12]  Green Climate Fund. (2023). GCF Portfolio Dashboard. Green Climate Fund Board. Available at: https://www.greenclimate.fund</w:t>
      </w:r>
    </w:p>
    <w:p>
      <w:pPr>
        <w:spacing w:after="120" w:line="360"/>
        <w:jc w:val="both"/>
      </w:pPr>
      <w:r>
        <w:rPr>
          <w:rFonts w:ascii="Times New Roman" w:cs="Times New Roman" w:eastAsia="Times New Roman" w:hAnsi="Times New Roman"/>
          <w:b w:val="false"/>
          <w:bCs w:val="false"/>
          <w:i w:val="false"/>
          <w:iCs w:val="false"/>
          <w:sz w:val="24"/>
          <w:szCs w:val="24"/>
        </w:rPr>
        <w:t xml:space="preserve">[13]  OECD. (2022). Climate Finance Provided and Mobilised by Developed Countries in 2016–2020. OECD Publishing, Paris. https://doi.org/10.1787/286dae5d-en</w:t>
      </w:r>
    </w:p>
    <w:p>
      <w:pPr>
        <w:spacing w:after="120" w:line="360"/>
        <w:jc w:val="both"/>
      </w:pPr>
      <w:r>
        <w:rPr>
          <w:rFonts w:ascii="Times New Roman" w:cs="Times New Roman" w:eastAsia="Times New Roman" w:hAnsi="Times New Roman"/>
          <w:b w:val="false"/>
          <w:bCs w:val="false"/>
          <w:i w:val="false"/>
          <w:iCs w:val="false"/>
          <w:sz w:val="24"/>
          <w:szCs w:val="24"/>
        </w:rPr>
        <w:t xml:space="preserve">[14]  Carty, T., &amp; le Courtois, E. (2021). Fair Shares: Assessing Developing Country Climate Finance Needs. Overseas Development Institute and ActionAid.</w:t>
      </w:r>
    </w:p>
    <w:p>
      <w:pPr>
        <w:spacing w:after="120" w:line="360"/>
        <w:jc w:val="both"/>
      </w:pPr>
      <w:r>
        <w:rPr>
          <w:rFonts w:ascii="Times New Roman" w:cs="Times New Roman" w:eastAsia="Times New Roman" w:hAnsi="Times New Roman"/>
          <w:b w:val="false"/>
          <w:bCs w:val="false"/>
          <w:i w:val="false"/>
          <w:iCs w:val="false"/>
          <w:sz w:val="24"/>
          <w:szCs w:val="24"/>
        </w:rPr>
        <w:t xml:space="preserve">[15]  Spratt, S., &amp; Ryan-Collins, J. (2012). Development Finance Institutions and Infrastructure: A Systematic Evaluation of Multilateral Development Banks and Development Finance Institutions. UNCTAD.</w:t>
      </w:r>
    </w:p>
    <w:p>
      <w:pPr>
        <w:spacing w:after="120" w:line="360"/>
        <w:jc w:val="both"/>
      </w:pPr>
      <w:r>
        <w:rPr>
          <w:rFonts w:ascii="Times New Roman" w:cs="Times New Roman" w:eastAsia="Times New Roman" w:hAnsi="Times New Roman"/>
          <w:b w:val="false"/>
          <w:bCs w:val="false"/>
          <w:i w:val="false"/>
          <w:iCs w:val="false"/>
          <w:sz w:val="24"/>
          <w:szCs w:val="24"/>
        </w:rPr>
        <w:t xml:space="preserve">[16]  Climate Policy Initiative. (2022). Global Landscape of Climate Finance 2022. Climate Policy Initiative. San Francisco.</w:t>
      </w:r>
    </w:p>
    <w:p>
      <w:pPr>
        <w:spacing w:after="120" w:line="360"/>
        <w:jc w:val="both"/>
      </w:pPr>
      <w:r>
        <w:rPr>
          <w:rFonts w:ascii="Times New Roman" w:cs="Times New Roman" w:eastAsia="Times New Roman" w:hAnsi="Times New Roman"/>
          <w:b w:val="false"/>
          <w:bCs w:val="false"/>
          <w:i w:val="false"/>
          <w:iCs w:val="false"/>
          <w:sz w:val="24"/>
          <w:szCs w:val="24"/>
        </w:rPr>
        <w:t xml:space="preserve">[17]  Gabor, D. (2021). The Wall Street Consensus. Development and Change, 52(3), 429–459. https://doi.org/10.1111/dech.12645</w:t>
      </w:r>
    </w:p>
    <w:p>
      <w:pPr>
        <w:spacing w:after="120" w:line="360"/>
        <w:jc w:val="both"/>
      </w:pPr>
      <w:r>
        <w:rPr>
          <w:rFonts w:ascii="Times New Roman" w:cs="Times New Roman" w:eastAsia="Times New Roman" w:hAnsi="Times New Roman"/>
          <w:b w:val="false"/>
          <w:bCs w:val="false"/>
          <w:i w:val="false"/>
          <w:iCs w:val="false"/>
          <w:sz w:val="24"/>
          <w:szCs w:val="24"/>
        </w:rPr>
        <w:t xml:space="preserve">[18]  OECD. (2018). Making Blended Finance Work for the Sustainable Development Goals. OECD Publishing, Paris. https://doi.org/10.1787/9789264288768-en</w:t>
      </w:r>
    </w:p>
    <w:p>
      <w:pPr>
        <w:spacing w:after="120" w:line="360"/>
        <w:jc w:val="both"/>
      </w:pPr>
      <w:r>
        <w:rPr>
          <w:rFonts w:ascii="Times New Roman" w:cs="Times New Roman" w:eastAsia="Times New Roman" w:hAnsi="Times New Roman"/>
          <w:b w:val="false"/>
          <w:bCs w:val="false"/>
          <w:i w:val="false"/>
          <w:iCs w:val="false"/>
          <w:sz w:val="24"/>
          <w:szCs w:val="24"/>
        </w:rPr>
        <w:t xml:space="preserve">[19]  Convergence. (2020). The State of Blended Finance 2020. Convergence Blended Finance. Toronto.</w:t>
      </w:r>
    </w:p>
    <w:p>
      <w:pPr>
        <w:spacing w:after="120" w:line="360"/>
        <w:jc w:val="both"/>
      </w:pPr>
      <w:r>
        <w:rPr>
          <w:rFonts w:ascii="Times New Roman" w:cs="Times New Roman" w:eastAsia="Times New Roman" w:hAnsi="Times New Roman"/>
          <w:b w:val="false"/>
          <w:bCs w:val="false"/>
          <w:i w:val="false"/>
          <w:iCs w:val="false"/>
          <w:sz w:val="24"/>
          <w:szCs w:val="24"/>
        </w:rPr>
        <w:t xml:space="preserve">[20]  Attridge, S., &amp; Engen, L. (2019). Blended Finance in the Poorest Countries: The Need for a Better Approach. Overseas Development Institute. London.</w:t>
      </w:r>
    </w:p>
    <w:p>
      <w:pPr>
        <w:spacing w:after="120" w:line="360"/>
        <w:jc w:val="both"/>
      </w:pPr>
      <w:r>
        <w:rPr>
          <w:rFonts w:ascii="Times New Roman" w:cs="Times New Roman" w:eastAsia="Times New Roman" w:hAnsi="Times New Roman"/>
          <w:b w:val="false"/>
          <w:bCs w:val="false"/>
          <w:i w:val="false"/>
          <w:iCs w:val="false"/>
          <w:sz w:val="24"/>
          <w:szCs w:val="24"/>
        </w:rPr>
        <w:t xml:space="preserve">[21]  Michaelowa, A., Hoch, S., Weber, A. K., Mayr, J., Kassaye, R., &amp; Schäfer, L. (2019). Understanding the Ambition of Ethiopian Nationally Determined Contributions. Perspectives Climate Research.</w:t>
      </w:r>
    </w:p>
    <w:p>
      <w:pPr>
        <w:spacing w:after="120" w:line="360"/>
        <w:jc w:val="both"/>
      </w:pPr>
      <w:r>
        <w:rPr>
          <w:rFonts w:ascii="Times New Roman" w:cs="Times New Roman" w:eastAsia="Times New Roman" w:hAnsi="Times New Roman"/>
          <w:b w:val="false"/>
          <w:bCs w:val="false"/>
          <w:i w:val="false"/>
          <w:iCs w:val="false"/>
          <w:sz w:val="24"/>
          <w:szCs w:val="24"/>
        </w:rPr>
        <w:t xml:space="preserve">[22]  Winkler, H., &amp; Rajamani, L. (2014). CBDR&amp;RC in a regime applicable to all. Climate Policy, 14(1), 102–121.</w:t>
      </w:r>
    </w:p>
    <w:p>
      <w:pPr>
        <w:spacing w:after="120" w:line="360"/>
        <w:jc w:val="both"/>
      </w:pPr>
      <w:r>
        <w:rPr>
          <w:rFonts w:ascii="Times New Roman" w:cs="Times New Roman" w:eastAsia="Times New Roman" w:hAnsi="Times New Roman"/>
          <w:b w:val="false"/>
          <w:bCs w:val="false"/>
          <w:i w:val="false"/>
          <w:iCs w:val="false"/>
          <w:sz w:val="24"/>
          <w:szCs w:val="24"/>
        </w:rPr>
        <w:t xml:space="preserve">[23]  Dubash, N. K., &amp; Rajan, S. C. (2022). The politics of climate change in India: narratives of equity and co-benefits. WIREs Climate Change, 12(3), e671.</w:t>
      </w:r>
    </w:p>
    <w:p>
      <w:pPr>
        <w:spacing w:after="120" w:line="360"/>
        <w:jc w:val="both"/>
      </w:pPr>
      <w:r>
        <w:rPr>
          <w:rFonts w:ascii="Times New Roman" w:cs="Times New Roman" w:eastAsia="Times New Roman" w:hAnsi="Times New Roman"/>
          <w:b w:val="false"/>
          <w:bCs w:val="false"/>
          <w:i w:val="false"/>
          <w:iCs w:val="false"/>
          <w:sz w:val="24"/>
          <w:szCs w:val="24"/>
        </w:rPr>
        <w:t xml:space="preserve">[24]  International Solar Alliance. (2021). ISA World Solar Report. International Solar Alliance. Gurugram.</w:t>
      </w:r>
    </w:p>
    <w:p>
      <w:pPr>
        <w:spacing w:after="120" w:line="360"/>
        <w:jc w:val="both"/>
      </w:pPr>
      <w:r>
        <w:rPr>
          <w:rFonts w:ascii="Times New Roman" w:cs="Times New Roman" w:eastAsia="Times New Roman" w:hAnsi="Times New Roman"/>
          <w:b w:val="false"/>
          <w:bCs w:val="false"/>
          <w:i w:val="false"/>
          <w:iCs w:val="false"/>
          <w:sz w:val="24"/>
          <w:szCs w:val="24"/>
        </w:rPr>
        <w:t xml:space="preserve">[25]  Government of India, Ministry of Environment, Forest and Climate Change. (2023). India's Climate Finance Landscape: Needs and Opportunities. MoEFCC.</w:t>
      </w:r>
    </w:p>
    <w:p>
      <w:pPr>
        <w:spacing w:after="120" w:line="360"/>
        <w:jc w:val="both"/>
      </w:pPr>
      <w:r>
        <w:rPr>
          <w:rFonts w:ascii="Times New Roman" w:cs="Times New Roman" w:eastAsia="Times New Roman" w:hAnsi="Times New Roman"/>
          <w:b w:val="false"/>
          <w:bCs w:val="false"/>
          <w:i w:val="false"/>
          <w:iCs w:val="false"/>
          <w:sz w:val="24"/>
          <w:szCs w:val="24"/>
        </w:rPr>
        <w:t xml:space="preserve">[26]  African Development Bank Group. (2022). Climate Change and Green Growth: African Development Bank Group's Action Plan 2021–2025. AfDB. Abidjan.</w:t>
      </w:r>
    </w:p>
    <w:p>
      <w:pPr>
        <w:spacing w:after="120" w:line="360"/>
        <w:jc w:val="both"/>
      </w:pPr>
      <w:r>
        <w:rPr>
          <w:rFonts w:ascii="Times New Roman" w:cs="Times New Roman" w:eastAsia="Times New Roman" w:hAnsi="Times New Roman"/>
          <w:b w:val="false"/>
          <w:bCs w:val="false"/>
          <w:i w:val="false"/>
          <w:iCs w:val="false"/>
          <w:sz w:val="24"/>
          <w:szCs w:val="24"/>
        </w:rPr>
        <w:t xml:space="preserve">[27]  Soanes, M., &amp; Sapiains, R. (2021). Access to Climate Finance: Perspectives of National Implementing Entities in Africa. IIED Working Paper. London.</w:t>
      </w:r>
    </w:p>
    <w:p>
      <w:pPr>
        <w:spacing w:after="120" w:line="360"/>
        <w:jc w:val="both"/>
      </w:pPr>
      <w:r>
        <w:rPr>
          <w:rFonts w:ascii="Times New Roman" w:cs="Times New Roman" w:eastAsia="Times New Roman" w:hAnsi="Times New Roman"/>
          <w:b w:val="false"/>
          <w:bCs w:val="false"/>
          <w:i w:val="false"/>
          <w:iCs w:val="false"/>
          <w:sz w:val="24"/>
          <w:szCs w:val="24"/>
        </w:rPr>
        <w:t xml:space="preserve">[28]  Roberts, J. T., &amp; Weikmans, R. (2017). Postface: fragmentation, failing trust and enduring tensions over what counts as climate finance. International Environmental Agreements, 17(1), 129–137.</w:t>
      </w:r>
    </w:p>
    <w:p>
      <w:pPr>
        <w:spacing w:after="120" w:line="360"/>
        <w:jc w:val="both"/>
      </w:pPr>
      <w:r>
        <w:rPr>
          <w:rFonts w:ascii="Times New Roman" w:cs="Times New Roman" w:eastAsia="Times New Roman" w:hAnsi="Times New Roman"/>
          <w:b w:val="false"/>
          <w:bCs w:val="false"/>
          <w:i w:val="false"/>
          <w:iCs w:val="false"/>
          <w:sz w:val="24"/>
          <w:szCs w:val="24"/>
        </w:rPr>
        <w:t xml:space="preserve">[29]  McNamara, K. E., &amp; Jackson, G. (2019). Loss and damage from the slow-onset impacts of climate change: an emerging policy concern. Current Opinion in Environmental Sustainability, 37, 65–70.</w:t>
      </w:r>
    </w:p>
    <w:p>
      <w:pPr>
        <w:spacing w:after="120" w:line="360"/>
        <w:jc w:val="both"/>
      </w:pPr>
      <w:r>
        <w:rPr>
          <w:rFonts w:ascii="Times New Roman" w:cs="Times New Roman" w:eastAsia="Times New Roman" w:hAnsi="Times New Roman"/>
          <w:b w:val="false"/>
          <w:bCs w:val="false"/>
          <w:i w:val="false"/>
          <w:iCs w:val="false"/>
          <w:sz w:val="24"/>
          <w:szCs w:val="24"/>
        </w:rPr>
        <w:t xml:space="preserve">[30]  Robinson, S.-A. (2020). Climate change adaptation in SIDS: A systematic review of the literature pre and post the IPCC Fifth Assessment Report. WIREs Climate Change, 11(4), e653.</w:t>
      </w:r>
    </w:p>
    <w:p>
      <w:pPr>
        <w:spacing w:after="120" w:line="360"/>
        <w:jc w:val="both"/>
      </w:pPr>
      <w:r>
        <w:rPr>
          <w:rFonts w:ascii="Times New Roman" w:cs="Times New Roman" w:eastAsia="Times New Roman" w:hAnsi="Times New Roman"/>
          <w:b w:val="false"/>
          <w:bCs w:val="false"/>
          <w:i w:val="false"/>
          <w:iCs w:val="false"/>
          <w:sz w:val="24"/>
          <w:szCs w:val="24"/>
        </w:rPr>
        <w:t xml:space="preserve">[31]  UNFCCC. (2023). Operationalisation of the new funding arrangements for responding to loss and damage. Decision -/CP.28. UNFCCC Secretariat.</w:t>
      </w:r>
    </w:p>
    <w:p>
      <w:pPr>
        <w:spacing w:after="120" w:line="360"/>
        <w:jc w:val="both"/>
      </w:pPr>
      <w:r>
        <w:rPr>
          <w:rFonts w:ascii="Times New Roman" w:cs="Times New Roman" w:eastAsia="Times New Roman" w:hAnsi="Times New Roman"/>
          <w:b w:val="false"/>
          <w:bCs w:val="false"/>
          <w:i w:val="false"/>
          <w:iCs w:val="false"/>
          <w:sz w:val="24"/>
          <w:szCs w:val="24"/>
        </w:rPr>
        <w:t xml:space="preserve">[32]  OECD. (2020). Climate Finance Provided and Mobilised by Developed Countries: Aggregate Trends Updated with 2019 Data. OECD/IEA Climate Change Expert Group Papers 2020/01.</w:t>
      </w:r>
    </w:p>
    <w:p>
      <w:pPr>
        <w:spacing w:after="120" w:line="360"/>
        <w:jc w:val="both"/>
      </w:pPr>
      <w:r>
        <w:rPr>
          <w:rFonts w:ascii="Times New Roman" w:cs="Times New Roman" w:eastAsia="Times New Roman" w:hAnsi="Times New Roman"/>
          <w:b w:val="false"/>
          <w:bCs w:val="false"/>
          <w:i w:val="false"/>
          <w:iCs w:val="false"/>
          <w:sz w:val="24"/>
          <w:szCs w:val="24"/>
        </w:rPr>
        <w:t xml:space="preserve">[33]  Amerasinghe, N. M., Thwaites, J., Larsen, G., &amp; Ballesteros, A. (2017). The Future of the Funds: Exploring the Architecture of Multilateral Climate Finance. World Resources Institute. Washington, DC.</w:t>
      </w:r>
    </w:p>
    <w:p>
      <w:pPr>
        <w:spacing w:after="120" w:line="360"/>
        <w:jc w:val="both"/>
      </w:pPr>
      <w:r>
        <w:rPr>
          <w:rFonts w:ascii="Times New Roman" w:cs="Times New Roman" w:eastAsia="Times New Roman" w:hAnsi="Times New Roman"/>
          <w:b w:val="false"/>
          <w:bCs w:val="false"/>
          <w:i w:val="false"/>
          <w:iCs w:val="false"/>
          <w:sz w:val="24"/>
          <w:szCs w:val="24"/>
        </w:rPr>
        <w:t xml:space="preserve">[34]  Grabel, I. (2017). When Things Don't Fall Apart: Global Financial Governance and Developmental Finance in an Age of Productive Incoherence. MIT Press.</w:t>
      </w:r>
    </w:p>
    <w:p>
      <w:pPr>
        <w:spacing w:after="120" w:line="360"/>
        <w:jc w:val="both"/>
      </w:pPr>
      <w:r>
        <w:rPr>
          <w:rFonts w:ascii="Times New Roman" w:cs="Times New Roman" w:eastAsia="Times New Roman" w:hAnsi="Times New Roman"/>
          <w:b w:val="false"/>
          <w:bCs w:val="false"/>
          <w:i w:val="false"/>
          <w:iCs w:val="false"/>
          <w:sz w:val="24"/>
          <w:szCs w:val="24"/>
        </w:rPr>
        <w:t xml:space="preserve">[35]  UNCTAD. (2023). World of Debt: A Growing Burden to Global Prosperity. Trade and Development Report 2023. UNCTAD. Geneva.</w:t>
      </w:r>
    </w:p>
    <w:p>
      <w:pPr>
        <w:spacing w:after="120" w:line="360"/>
        <w:jc w:val="both"/>
      </w:pPr>
      <w:r>
        <w:rPr>
          <w:rFonts w:ascii="Times New Roman" w:cs="Times New Roman" w:eastAsia="Times New Roman" w:hAnsi="Times New Roman"/>
          <w:b w:val="false"/>
          <w:bCs w:val="false"/>
          <w:i w:val="false"/>
          <w:iCs w:val="false"/>
          <w:sz w:val="24"/>
          <w:szCs w:val="24"/>
        </w:rPr>
        <w:t xml:space="preserve">[36]  Buhr, B., Volz, U., Donovan, C., Kling, G., Lo, Y., Murinde, V., &amp; Pullin, N. (2018). Climate Change and the Cost of Capital in Developing Countries. Imperial College London, SOAS University of London.</w:t>
      </w:r>
    </w:p>
    <w:p>
      <w:pPr>
        <w:spacing w:after="120" w:line="360"/>
        <w:jc w:val="both"/>
      </w:pPr>
      <w:r>
        <w:rPr>
          <w:rFonts w:ascii="Times New Roman" w:cs="Times New Roman" w:eastAsia="Times New Roman" w:hAnsi="Times New Roman"/>
          <w:b w:val="false"/>
          <w:bCs w:val="false"/>
          <w:i w:val="false"/>
          <w:iCs w:val="false"/>
          <w:sz w:val="24"/>
          <w:szCs w:val="24"/>
        </w:rPr>
        <w:t xml:space="preserve">[37]  Díaz Anadon, L., Jones, L., &amp; Stua, M. (2021). Financial flows to Asia and the Pacific for the adoption of low-carbon strategies: current state and future scenarios. Climate Policy, 21(5), 621–635.</w:t>
      </w:r>
    </w:p>
    <w:p>
      <w:pPr>
        <w:spacing w:after="120" w:line="360"/>
        <w:jc w:val="both"/>
      </w:pPr>
      <w:r>
        <w:rPr>
          <w:rFonts w:ascii="Times New Roman" w:cs="Times New Roman" w:eastAsia="Times New Roman" w:hAnsi="Times New Roman"/>
          <w:b w:val="false"/>
          <w:bCs w:val="false"/>
          <w:i w:val="false"/>
          <w:iCs w:val="false"/>
          <w:sz w:val="24"/>
          <w:szCs w:val="24"/>
        </w:rPr>
        <w:t xml:space="preserve">[38]  Ciplet, D., Roberts, J. T., &amp; Khan, M. R. (2015). Power in a Warming World: The New Global Politics of Climate Change and the Remaking of Environmental Inequality. MIT Press.</w:t>
      </w:r>
    </w:p>
    <w:p>
      <w:pPr>
        <w:spacing w:after="120" w:line="360"/>
        <w:jc w:val="both"/>
      </w:pPr>
      <w:r>
        <w:rPr>
          <w:rFonts w:ascii="Times New Roman" w:cs="Times New Roman" w:eastAsia="Times New Roman" w:hAnsi="Times New Roman"/>
          <w:b w:val="false"/>
          <w:bCs w:val="false"/>
          <w:i w:val="false"/>
          <w:iCs w:val="false"/>
          <w:sz w:val="24"/>
          <w:szCs w:val="24"/>
        </w:rPr>
        <w:t xml:space="preserve">[39]  Schalatek, L., &amp; Watson, C. (2022). The Principles and Criteria of Public Climate Finance. Heinrich Böll Foundation. Washington, DC.</w:t>
      </w:r>
    </w:p>
    <w:p>
      <w:pPr>
        <w:spacing w:after="120" w:line="360"/>
        <w:jc w:val="both"/>
      </w:pPr>
      <w:r>
        <w:rPr>
          <w:rFonts w:ascii="Times New Roman" w:cs="Times New Roman" w:eastAsia="Times New Roman" w:hAnsi="Times New Roman"/>
          <w:b w:val="false"/>
          <w:bCs w:val="false"/>
          <w:i w:val="false"/>
          <w:iCs w:val="false"/>
          <w:sz w:val="24"/>
          <w:szCs w:val="24"/>
        </w:rPr>
        <w:t xml:space="preserve">[40]  United Nations Environment Programme. (2023). Adaptation Gap Report 2023: Underfinanced. Underprepared. Inadequate Investment and Planning on Climate Adaptation Leaves World Exposed. UNEP.</w:t>
      </w:r>
    </w:p>
    <w:p>
      <w:pPr>
        <w:spacing w:after="120" w:line="360"/>
        <w:jc w:val="both"/>
      </w:pPr>
      <w:r>
        <w:rPr>
          <w:rFonts w:ascii="Times New Roman" w:cs="Times New Roman" w:eastAsia="Times New Roman" w:hAnsi="Times New Roman"/>
          <w:b w:val="false"/>
          <w:bCs w:val="false"/>
          <w:i w:val="false"/>
          <w:iCs w:val="false"/>
          <w:sz w:val="24"/>
          <w:szCs w:val="24"/>
        </w:rPr>
        <w:t xml:space="preserve">[41]  Bhattacharya, A., Songwe, V., Stern, N., Torkushvili, M., &amp; Munir, H. (2023). A Trillion Dollar Question: What it will take to finance nature. Grantham Research Institute and ODI.</w:t>
      </w:r>
    </w:p>
    <w:p>
      <w:pPr>
        <w:spacing w:after="120" w:line="360"/>
        <w:jc w:val="both"/>
      </w:pPr>
      <w:r>
        <w:rPr>
          <w:rFonts w:ascii="Times New Roman" w:cs="Times New Roman" w:eastAsia="Times New Roman" w:hAnsi="Times New Roman"/>
          <w:b w:val="false"/>
          <w:bCs w:val="false"/>
          <w:i w:val="false"/>
          <w:iCs w:val="false"/>
          <w:sz w:val="24"/>
          <w:szCs w:val="24"/>
        </w:rPr>
        <w:t xml:space="preserve">[42]  Meattle, C., Naran, B., Padmanabhi, R., &amp; Rosane, P. (2021). State and Trends of Climate Finance in Developing Countries. Climate Policy Initiative.</w:t>
      </w:r>
    </w:p>
    <w:p>
      <w:pPr>
        <w:spacing w:after="120" w:line="360"/>
        <w:jc w:val="both"/>
      </w:pPr>
      <w:r>
        <w:rPr>
          <w:rFonts w:ascii="Times New Roman" w:cs="Times New Roman" w:eastAsia="Times New Roman" w:hAnsi="Times New Roman"/>
          <w:b w:val="false"/>
          <w:bCs w:val="false"/>
          <w:i w:val="false"/>
          <w:iCs w:val="false"/>
          <w:sz w:val="24"/>
          <w:szCs w:val="24"/>
        </w:rPr>
        <w:t xml:space="preserve">[43]  Mace, M. J., Millar, I., Haggerty, M., Dawkins, M., Lees, E., &amp; Zurek, M. (2012). Analysis of the Opportunities for Developing Countries to Access Financing from the GCF. Legal Response Initiative.</w:t>
      </w:r>
    </w:p>
    <w:p>
      <w:pPr>
        <w:spacing w:after="120" w:line="360"/>
        <w:jc w:val="both"/>
      </w:pPr>
      <w:r>
        <w:rPr>
          <w:rFonts w:ascii="Times New Roman" w:cs="Times New Roman" w:eastAsia="Times New Roman" w:hAnsi="Times New Roman"/>
          <w:b w:val="false"/>
          <w:bCs w:val="false"/>
          <w:i w:val="false"/>
          <w:iCs w:val="false"/>
          <w:sz w:val="24"/>
          <w:szCs w:val="24"/>
        </w:rPr>
        <w:t xml:space="preserve">[44]  Songwe, V., Stern, N., &amp; Bhattacharya, A. (2022). Finance for Climate Action: Scaling Up Investment for Climate and Development. Report of the Independent High-Level Expert Group on Climate Finance. COP27.</w:t>
      </w:r>
    </w:p>
    <w:p>
      <w:pPr>
        <w:spacing w:after="120" w:line="360"/>
        <w:jc w:val="both"/>
      </w:pPr>
      <w:r>
        <w:rPr>
          <w:rFonts w:ascii="Times New Roman" w:cs="Times New Roman" w:eastAsia="Times New Roman" w:hAnsi="Times New Roman"/>
          <w:b w:val="false"/>
          <w:bCs w:val="false"/>
          <w:i w:val="false"/>
          <w:iCs w:val="false"/>
          <w:sz w:val="24"/>
          <w:szCs w:val="24"/>
        </w:rPr>
        <w:t xml:space="preserve">[45]  Volz, U., &amp; Ahmed, S. (2023). Climate-Vulnerable Economies Loss Report. V20 Group. Available at: https://www.v-20.org</w:t>
      </w:r>
    </w:p>
    <w:p>
      <w:pPr>
        <w:spacing w:after="120" w:line="360"/>
        <w:jc w:val="both"/>
      </w:pPr>
      <w:r>
        <w:rPr>
          <w:rFonts w:ascii="Times New Roman" w:cs="Times New Roman" w:eastAsia="Times New Roman" w:hAnsi="Times New Roman"/>
          <w:b w:val="false"/>
          <w:bCs w:val="false"/>
          <w:i w:val="false"/>
          <w:iCs w:val="false"/>
          <w:sz w:val="24"/>
          <w:szCs w:val="24"/>
        </w:rPr>
        <w:t xml:space="preserve">[46]  IPCC. (2022). Climate Change 2022: Impacts, Adaptation and Vulnerability. Contribution of Working Group II to the Sixth Assessment Report. Cambridge University Press.</w:t>
      </w:r>
    </w:p>
    <w:p>
      <w:pPr>
        <w:spacing w:after="120" w:line="360"/>
        <w:jc w:val="both"/>
      </w:pPr>
      <w:r>
        <w:rPr>
          <w:rFonts w:ascii="Times New Roman" w:cs="Times New Roman" w:eastAsia="Times New Roman" w:hAnsi="Times New Roman"/>
          <w:b w:val="false"/>
          <w:bCs w:val="false"/>
          <w:i w:val="false"/>
          <w:iCs w:val="false"/>
          <w:sz w:val="24"/>
          <w:szCs w:val="24"/>
        </w:rPr>
        <w:t xml:space="preserve">[47]  Green Climate Fund. (2020). GCF Gender Policy and Action Plan 2020–2023. GCF Board Decision B.27/09. Green Climate Fund.</w:t>
      </w:r>
    </w:p>
    <w:sectPr>
      <w:pgSz w:w="11906" w:h="16838" w:orient="portrait"/>
      <w:pgMar w:top="1440" w:right="1800" w:bottom="1440" w:left="1800" w:header="708" w:footer="708" w:gutter="0"/>
      <w:pgNumType/>
      <w:cols w:space="708"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2026-05-15T19:29:35.925Z</dcterms:created>
  <dcterms:modified xsi:type="dcterms:W3CDTF">2026-05-15T19:29:35.925Z</dcterms:modified>
</cp:coreProperties>
</file>

<file path=docProps/custom.xml><?xml version="1.0" encoding="utf-8"?>
<Properties xmlns="http://schemas.openxmlformats.org/officeDocument/2006/custom-properties" xmlns:vt="http://schemas.openxmlformats.org/officeDocument/2006/docPropsVTypes"/>
</file>