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 Data Analytics: Superstore Sales &amp; Customer Churn</w:t>
      </w:r>
    </w:p>
    <w:p>
      <w:pPr>
        <w:jc w:val="center"/>
      </w:pPr>
      <w:r>
        <w:rPr>
          <w:i/>
        </w:rPr>
        <w:t>Project Report</w:t>
        <w:br/>
        <w:t>Prepared by: Ayush Kumar</w:t>
        <w:br/>
        <w:t>B.Tech CSE (AI &amp; ML), Galgotias University</w:t>
      </w:r>
    </w:p>
    <w:p>
      <w:pPr>
        <w:pStyle w:val="Heading1"/>
      </w:pPr>
      <w:r>
        <w:t>1. Introduction</w:t>
      </w:r>
    </w:p>
    <w:p>
      <w:r>
        <w:t>This project follows an end-to-end AI and data analytics workflow: raw data, cleaning, enrichment, exploratory data analysis, customer churn prediction, and business recommendations.</w:t>
      </w:r>
    </w:p>
    <w:p>
      <w:pPr>
        <w:pStyle w:val="Heading1"/>
      </w:pPr>
      <w:r>
        <w:t>2. Problem Statement</w:t>
      </w:r>
    </w:p>
    <w:p>
      <w:r>
        <w:t>The objective is to convert Superstore transactional data into actionable business information by analyzing sales trends, categories, customer segments, regions, products, and historical customer churn behavior.</w:t>
      </w:r>
    </w:p>
    <w:p>
      <w:pPr>
        <w:pStyle w:val="Heading1"/>
      </w:pPr>
      <w:r>
        <w:t>3. Dataset Description</w:t>
      </w:r>
    </w:p>
    <w:p>
      <w:r>
        <w:t>The raw Superstore workbook contains 10,194 rows and 21 columns. Important fields include Order ID, Order Date, Ship Date, Customer ID, Segment, Region, Product ID, Category, Product Name, Sales, Quantity, Discount, and Profit.</w:t>
      </w:r>
    </w:p>
    <w:p>
      <w:pPr>
        <w:pStyle w:val="ListBullet"/>
      </w:pPr>
      <w:r>
        <w:t>Raw missing values: 0.</w:t>
      </w:r>
    </w:p>
    <w:p>
      <w:pPr>
        <w:pStyle w:val="ListBullet"/>
      </w:pPr>
      <w:r>
        <w:t>Duplicate rows: 0.</w:t>
      </w:r>
    </w:p>
    <w:p>
      <w:pPr>
        <w:pStyle w:val="ListBullet"/>
      </w:pPr>
      <w:r>
        <w:t>Order Date and Ship Date were handled as date fields.</w:t>
      </w:r>
    </w:p>
    <w:p>
      <w:pPr>
        <w:pStyle w:val="ListBullet"/>
      </w:pPr>
      <w:r>
        <w:t>Negative Profit values were retained because they represent valid business outcomes.</w:t>
      </w:r>
    </w:p>
    <w:p>
      <w:pPr>
        <w:pStyle w:val="Heading1"/>
      </w:pPr>
      <w:r>
        <w:t>4. Data Cleaning and Enrichment</w:t>
      </w:r>
    </w:p>
    <w:p>
      <w:r>
        <w:t>Column names were standardized to lowercase names with underscores. Text fields were cleaned where appropriate, and Postal Code was explicitly checked and restored from the raw source after an intermediate type-handling issue.</w:t>
      </w:r>
    </w:p>
    <w:p>
      <w:r>
        <w:t>Integrity checks confirmed the cleaned data retained 10,194 rows and 21 source columns, with key numeric fields such as Sales, Quantity, Discount, and Profit unchanged.</w:t>
      </w:r>
    </w:p>
    <w:p>
      <w:r>
        <w:t>Added enrichment fields:</w:t>
      </w:r>
    </w:p>
    <w:p>
      <w:pPr>
        <w:pStyle w:val="ListBullet"/>
      </w:pPr>
      <w:r>
        <w:t>order_month and order_year</w:t>
      </w:r>
    </w:p>
    <w:p>
      <w:pPr>
        <w:pStyle w:val="ListBullet"/>
      </w:pPr>
      <w:r>
        <w:t>revenue_category: Low, Medium, High, Very High</w:t>
      </w:r>
    </w:p>
    <w:p>
      <w:pPr>
        <w:pStyle w:val="ListBullet"/>
      </w:pPr>
      <w:r>
        <w:t>customer_value: total Sales per customer</w:t>
      </w:r>
    </w:p>
    <w:p>
      <w:pPr>
        <w:pStyle w:val="ListBullet"/>
      </w:pPr>
      <w:r>
        <w:t>customer_segment: Low Value, Medium Value, High Value</w:t>
      </w:r>
    </w:p>
    <w:p>
      <w:pPr>
        <w:pStyle w:val="Heading1"/>
      </w:pPr>
      <w:r>
        <w:t>5. Exploratory Data Analysis</w:t>
      </w:r>
    </w:p>
    <w:p>
      <w:r>
        <w:t>The EDA followed Explore → Compare → Find Patterns → Investigate → Explain. Five business-focused visualizations were prepared:</w:t>
      </w:r>
    </w:p>
    <w:p>
      <w:pPr>
        <w:pStyle w:val="ListBullet"/>
      </w:pPr>
      <w:r>
        <w:t>Monthly Sales Trend</w:t>
      </w:r>
    </w:p>
    <w:p>
      <w:pPr>
        <w:pStyle w:val="ListBullet"/>
      </w:pPr>
      <w:r>
        <w:t>Category Sales</w:t>
      </w:r>
    </w:p>
    <w:p>
      <w:pPr>
        <w:pStyle w:val="ListBullet"/>
      </w:pPr>
      <w:r>
        <w:t>Customer Segment Sales</w:t>
      </w:r>
    </w:p>
    <w:p>
      <w:pPr>
        <w:pStyle w:val="ListBullet"/>
      </w:pPr>
      <w:r>
        <w:t>Regional Sales</w:t>
      </w:r>
    </w:p>
    <w:p>
      <w:pPr>
        <w:pStyle w:val="ListBullet"/>
      </w:pPr>
      <w:r>
        <w:t>Top Products by Profit</w:t>
      </w:r>
    </w:p>
    <w:p>
      <w:pPr>
        <w:pStyle w:val="Heading1"/>
      </w:pPr>
      <w:r>
        <w:t>6. Key EDA Observations</w:t>
      </w:r>
    </w:p>
    <w:p>
      <w:pPr>
        <w:pStyle w:val="ListBullet"/>
      </w:pPr>
      <w:r>
        <w:t>Highest monthly sales: November 2018 — 118,447.83.</w:t>
      </w:r>
    </w:p>
    <w:p>
      <w:pPr>
        <w:pStyle w:val="ListBullet"/>
      </w:pPr>
      <w:r>
        <w:t>Lowest monthly sales: February 2017 — 28,821.73.</w:t>
      </w:r>
    </w:p>
    <w:p>
      <w:pPr>
        <w:pStyle w:val="ListBullet"/>
      </w:pPr>
      <w:r>
        <w:t>Highest category sales: Technology — 836,154.03.</w:t>
      </w:r>
    </w:p>
    <w:p>
      <w:pPr>
        <w:pStyle w:val="ListBullet"/>
      </w:pPr>
      <w:r>
        <w:t>Highest customer-segment sales: High Value — 1,222,392.00.</w:t>
      </w:r>
    </w:p>
    <w:p>
      <w:pPr>
        <w:pStyle w:val="ListBullet"/>
      </w:pPr>
      <w:r>
        <w:t>Highest regional sales: West — 725,457.82.</w:t>
      </w:r>
    </w:p>
    <w:p>
      <w:pPr>
        <w:pStyle w:val="ListBullet"/>
      </w:pPr>
      <w:r>
        <w:t>Highest total profit among the top-10 products: Canon imageCLASS 2200 Advanced Copier — 25,199.93.</w:t>
      </w:r>
    </w:p>
    <w:p>
      <w:pPr>
        <w:pStyle w:val="Heading1"/>
      </w:pPr>
      <w:r>
        <w:t>7. Hypotheses and Validation</w:t>
      </w:r>
    </w:p>
    <w:p>
      <w:r>
        <w:t>Observed patterns were converted into hypotheses and then checked rather than treated automatically as facts.</w:t>
      </w:r>
    </w:p>
    <w:p>
      <w:pPr>
        <w:pStyle w:val="ListBullet"/>
      </w:pPr>
      <w:r>
        <w:t>Technology's higher sales contribution may be associated with higher-value products or stronger demand.</w:t>
      </w:r>
    </w:p>
    <w:p>
      <w:pPr>
        <w:pStyle w:val="ListBullet"/>
      </w:pPr>
      <w:r>
        <w:t>High Value customers' higher sales contribution may be associated with larger or more frequent orders.</w:t>
      </w:r>
    </w:p>
    <w:p>
      <w:pPr>
        <w:pStyle w:val="ListBullet"/>
      </w:pPr>
      <w:r>
        <w:t>West-region sales may be associated with differences in customer demand, order volume, or product mix.</w:t>
      </w:r>
    </w:p>
    <w:p>
      <w:r>
        <w:t>Validation checks compared category order values, customer-segment purchasing behavior, and regional order volumes.</w:t>
      </w:r>
    </w:p>
    <w:p>
      <w:pPr>
        <w:pStyle w:val="Heading1"/>
      </w:pPr>
      <w:r>
        <w:t>8. Customer Churn Prediction</w:t>
      </w:r>
    </w:p>
    <w:p>
      <w:r>
        <w:t>A historical snapshot approach was used to reduce target leakage. A snapshot date was created 180 days before the latest order date. Customer behavior before the snapshot generated the features, while activity after the snapshot defined the churn outcome.</w:t>
      </w:r>
    </w:p>
    <w:p>
      <w:pPr>
        <w:pStyle w:val="ListBullet"/>
      </w:pPr>
      <w:r>
        <w:t>Model: Logistic Regression</w:t>
      </w:r>
    </w:p>
    <w:p>
      <w:pPr>
        <w:pStyle w:val="ListBullet"/>
      </w:pPr>
      <w:r>
        <w:t>Features: Recency, Frequency, Monetary</w:t>
      </w:r>
    </w:p>
    <w:p>
      <w:pPr>
        <w:pStyle w:val="ListBullet"/>
      </w:pPr>
      <w:r>
        <w:t>Training/test split: stratified, 80/20, random_state=42</w:t>
      </w:r>
    </w:p>
    <w:p>
      <w:pPr>
        <w:pStyle w:val="ListBullet"/>
      </w:pPr>
      <w:r>
        <w:t>Churn target: no future order during the defined future observation period</w:t>
      </w:r>
    </w:p>
    <w:p>
      <w:pPr>
        <w:pStyle w:val="Heading1"/>
      </w:pPr>
      <w:r>
        <w:t>9. Model Evaluation</w:t>
      </w:r>
    </w:p>
    <w:tbl>
      <w:tblPr>
        <w:tblStyle w:val="TableGrid"/>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Accuracy</w:t>
            </w:r>
          </w:p>
        </w:tc>
        <w:tc>
          <w:tcPr>
            <w:tcW w:type="dxa" w:w="4320"/>
          </w:tcPr>
          <w:p>
            <w:r>
              <w:t>0.7438 (74.38%)</w:t>
            </w:r>
          </w:p>
        </w:tc>
      </w:tr>
      <w:tr>
        <w:tc>
          <w:tcPr>
            <w:tcW w:type="dxa" w:w="4320"/>
          </w:tcPr>
          <w:p>
            <w:r>
              <w:t>Precision</w:t>
            </w:r>
          </w:p>
        </w:tc>
        <w:tc>
          <w:tcPr>
            <w:tcW w:type="dxa" w:w="4320"/>
          </w:tcPr>
          <w:p>
            <w:r>
              <w:t>0.0000</w:t>
            </w:r>
          </w:p>
        </w:tc>
      </w:tr>
      <w:tr>
        <w:tc>
          <w:tcPr>
            <w:tcW w:type="dxa" w:w="4320"/>
          </w:tcPr>
          <w:p>
            <w:r>
              <w:t>Recall</w:t>
            </w:r>
          </w:p>
        </w:tc>
        <w:tc>
          <w:tcPr>
            <w:tcW w:type="dxa" w:w="4320"/>
          </w:tcPr>
          <w:p>
            <w:r>
              <w:t>0.0000</w:t>
            </w:r>
          </w:p>
        </w:tc>
      </w:tr>
      <w:tr>
        <w:tc>
          <w:tcPr>
            <w:tcW w:type="dxa" w:w="4320"/>
          </w:tcPr>
          <w:p>
            <w:r>
              <w:t>Confusion Matrix</w:t>
            </w:r>
          </w:p>
        </w:tc>
        <w:tc>
          <w:tcPr>
            <w:tcW w:type="dxa" w:w="4320"/>
          </w:tcPr>
          <w:p>
            <w:r>
              <w:t>[[119, 0], [41, 0]]</w:t>
            </w:r>
          </w:p>
        </w:tc>
      </w:tr>
    </w:tbl>
    <w:p>
      <w:r>
        <w:t>The confusion matrix shows that the model predicted no positive churn cases in the evaluated test set. Therefore, precision and recall for the churn class are both 0.0000. Accuracy should not be interpreted alone as evidence of effective churn identification.</w:t>
      </w:r>
    </w:p>
    <w:p>
      <w:pPr>
        <w:pStyle w:val="Heading1"/>
      </w:pPr>
      <w:r>
        <w:t>10. Business Recommendations</w:t>
      </w:r>
    </w:p>
    <w:p>
      <w:pPr>
        <w:pStyle w:val="ListBullet"/>
      </w:pPr>
      <w:r>
        <w:t>Investigate the products, customers, and order patterns driving the strongest-selling category.</w:t>
      </w:r>
    </w:p>
    <w:p>
      <w:pPr>
        <w:pStyle w:val="ListBullet"/>
      </w:pPr>
      <w:r>
        <w:t>Study High Value customer purchasing behavior and develop appropriate retention and engagement actions.</w:t>
      </w:r>
    </w:p>
    <w:p>
      <w:pPr>
        <w:pStyle w:val="ListBullet"/>
      </w:pPr>
      <w:r>
        <w:t>Investigate product mix, customer demand, and order patterns in the strongest-selling region.</w:t>
      </w:r>
    </w:p>
    <w:p>
      <w:pPr>
        <w:pStyle w:val="ListBullet"/>
      </w:pPr>
      <w:r>
        <w:t>Improve class balance and churn-model evaluation before using predictions operationally.</w:t>
      </w:r>
    </w:p>
    <w:p>
      <w:pPr>
        <w:pStyle w:val="Heading1"/>
      </w:pPr>
      <w:r>
        <w:t>11. Tools and Technologies</w:t>
      </w:r>
    </w:p>
    <w:p>
      <w:pPr>
        <w:pStyle w:val="ListBullet"/>
      </w:pPr>
      <w:r>
        <w:t>Python, Pandas, NumPy, Matplotlib, Scikit-learn</w:t>
      </w:r>
    </w:p>
    <w:p>
      <w:pPr>
        <w:pStyle w:val="ListBullet"/>
      </w:pPr>
      <w:r>
        <w:t>Google Colab for analytics execution</w:t>
      </w:r>
    </w:p>
    <w:p>
      <w:pPr>
        <w:pStyle w:val="ListBullet"/>
      </w:pPr>
      <w:r>
        <w:t>IBM Bob as AI-powered development assistance</w:t>
      </w:r>
    </w:p>
    <w:p>
      <w:pPr>
        <w:pStyle w:val="ListBullet"/>
      </w:pPr>
      <w:r>
        <w:t>Git and GitHub for version control and project submission</w:t>
      </w:r>
    </w:p>
    <w:p>
      <w:pPr>
        <w:pStyle w:val="Heading1"/>
      </w:pPr>
      <w:r>
        <w:t>12. Project Structure</w:t>
      </w:r>
    </w:p>
    <w:p>
      <w:r>
        <w:t>The project contains Data/Raw, Data/Cleaned, Notebooks, Outputs/Charts, Outputs/Tables, Outputs/Model, Reports, README.md, .gitignore, and requirements.txt.</w:t>
      </w:r>
    </w:p>
    <w:p>
      <w:pPr>
        <w:pStyle w:val="Heading1"/>
      </w:pPr>
      <w:r>
        <w:t>13. Conclusion</w:t>
      </w:r>
    </w:p>
    <w:p>
      <w:r>
        <w:t>The project demonstrates an end-to-end data analytics workflow using Superstore transactional data. The dataset was cleaned and enriched, business-focused EDA was performed, observations were converted into hypotheses and validation checks, and a historical-snapshot Logistic Regression model was developed for churn prediction. The evaluation also demonstrates why class-sensitive metrics are important.</w:t>
      </w:r>
    </w:p>
    <w:p>
      <w:pPr>
        <w:pStyle w:val="Heading1"/>
      </w:pPr>
      <w:r>
        <w:t>14. Limitations</w:t>
      </w:r>
    </w:p>
    <w:p>
      <w:pPr>
        <w:pStyle w:val="ListBullet"/>
      </w:pPr>
      <w:r>
        <w:t>The current churn model predicted no positive churn cases in the evaluated test set.</w:t>
      </w:r>
    </w:p>
    <w:p>
      <w:pPr>
        <w:pStyle w:val="ListBullet"/>
      </w:pPr>
      <w:r>
        <w:t>The analysis uses a historical snapshot and a defined future observation period.</w:t>
      </w:r>
    </w:p>
    <w:p>
      <w:pPr>
        <w:pStyle w:val="ListBullet"/>
      </w:pPr>
      <w:r>
        <w:t>EDA findings describe this dataset and period and should not automatically be generalized to other datasets.</w:t>
      </w:r>
    </w:p>
    <w:p>
      <w:pPr>
        <w:pStyle w:val="ListBullet"/>
      </w:pPr>
      <w:r>
        <w:t>Further model development is required before operational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