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pPr>
      <w:r>
        <w:rPr>
          <w:rFonts w:ascii="Arial" w:cs="Arial" w:eastAsia="Arial" w:hAnsi="Arial"/>
          <w:b/>
          <w:bCs/>
          <w:color w:val="111827"/>
          <w:sz w:val="52"/>
          <w:szCs w:val="52"/>
        </w:rPr>
        <w:t xml:space="preserve">Strategic Advisor Proposal</w:t>
      </w:r>
    </w:p>
    <w:p>
      <w:pPr>
        <w:spacing w:after="80" w:before="0"/>
      </w:pPr>
      <w:r>
        <w:rPr>
          <w:rFonts w:ascii="Arial" w:cs="Arial" w:eastAsia="Arial" w:hAnsi="Arial"/>
          <w:color w:val="1a56db"/>
          <w:sz w:val="28"/>
          <w:szCs w:val="28"/>
        </w:rPr>
        <w:t xml:space="preserve">Flowfiy  ×  Rajveer Dafle</w:t>
      </w:r>
    </w:p>
    <w:p>
      <w:pPr>
        <w:spacing w:after="400" w:before="0"/>
      </w:pPr>
      <w:r>
        <w:rPr>
          <w:rFonts w:ascii="Arial" w:cs="Arial" w:eastAsia="Arial" w:hAnsi="Arial"/>
          <w:color w:val="9CA3AF"/>
          <w:sz w:val="20"/>
          <w:szCs w:val="20"/>
        </w:rPr>
        <w:t xml:space="preserve">Confidential  |  May 2026</w:t>
      </w:r>
    </w:p>
    <w:p>
      <w:pPr>
        <w:pBdr>
          <w:bottom w:val="single" w:color="1a56db" w:sz="4"/>
        </w:pBdr>
        <w:spacing w:after="120" w:before="400"/>
      </w:pPr>
      <w:r>
        <w:rPr>
          <w:rFonts w:ascii="Arial" w:cs="Arial" w:eastAsia="Arial" w:hAnsi="Arial"/>
          <w:b/>
          <w:bCs/>
          <w:color w:val="1a56db"/>
          <w:sz w:val="28"/>
          <w:szCs w:val="28"/>
        </w:rPr>
        <w:t xml:space="preserve">The Opportunity</w:t>
      </w:r>
    </w:p>
    <w:p>
      <w:pPr>
        <w:spacing w:after="80" w:before="80"/>
      </w:pPr>
      <w:r>
        <w:rPr>
          <w:rFonts w:ascii="Arial" w:cs="Arial" w:eastAsia="Arial" w:hAnsi="Arial"/>
          <w:color w:val="111827"/>
          <w:sz w:val="22"/>
          <w:szCs w:val="22"/>
        </w:rPr>
        <w:t xml:space="preserve">Flowfiy is a fully functional, live AI-powered B2B outbound sales platform. The product is built. The architecture is solid. What's missing is the go-to-market muscle to turn it from a working product into a revenue-generating business.</w:t>
      </w:r>
    </w:p>
    <w:p>
      <w:pPr>
        <w:spacing w:after="200" w:before="80"/>
      </w:pPr>
      <w:r>
        <w:rPr>
          <w:rFonts w:ascii="Arial" w:cs="Arial" w:eastAsia="Arial" w:hAnsi="Arial"/>
          <w:b/>
          <w:bCs/>
          <w:color w:val="111827"/>
          <w:sz w:val="22"/>
          <w:szCs w:val="22"/>
        </w:rPr>
        <w:t xml:space="preserve">That's exactly where I need you.</w:t>
      </w:r>
    </w:p>
    <w:p>
      <w:pPr>
        <w:pBdr>
          <w:bottom w:val="single" w:color="1a56db" w:sz="4"/>
        </w:pBdr>
        <w:spacing w:after="120" w:before="400"/>
      </w:pPr>
      <w:r>
        <w:rPr>
          <w:rFonts w:ascii="Arial" w:cs="Arial" w:eastAsia="Arial" w:hAnsi="Arial"/>
          <w:b/>
          <w:bCs/>
          <w:color w:val="1a56db"/>
          <w:sz w:val="28"/>
          <w:szCs w:val="28"/>
        </w:rPr>
        <w:t xml:space="preserve">The Role — Strategic Growth Advisor (Part-Time)</w:t>
      </w:r>
    </w:p>
    <w:p>
      <w:pPr>
        <w:spacing w:after="80" w:before="80"/>
      </w:pPr>
      <w:r>
        <w:rPr>
          <w:rFonts w:ascii="Arial" w:cs="Arial" w:eastAsia="Arial" w:hAnsi="Arial"/>
          <w:b/>
          <w:bCs/>
          <w:color w:val="111827"/>
          <w:sz w:val="22"/>
          <w:szCs w:val="22"/>
        </w:rPr>
        <w:t xml:space="preserve">What this means:  </w:t>
      </w:r>
      <w:r>
        <w:rPr>
          <w:rFonts w:ascii="Arial" w:cs="Arial" w:eastAsia="Arial" w:hAnsi="Arial"/>
          <w:color w:val="111827"/>
          <w:sz w:val="22"/>
          <w:szCs w:val="22"/>
        </w:rPr>
        <w:t xml:space="preserve">This is a part-time advisory arrangement — a structured trial period where you plug in your SaaS expertise, network, and strategic guidance without a full-time commitment. Think of it as both of us figuring out how we work together before locking in anything long-term. Equity and deeper involvement get discussed at the 3-month mark based on real contribution and mutual fit.</w:t>
      </w:r>
    </w:p>
    <w:p>
      <w:pPr>
        <w:spacing w:after="80" w:before="200"/>
      </w:pPr>
      <w:r>
        <w:rPr>
          <w:rFonts w:ascii="Arial" w:cs="Arial" w:eastAsia="Arial" w:hAnsi="Arial"/>
          <w:b/>
          <w:bCs/>
          <w:color w:val="111827"/>
          <w:sz w:val="22"/>
          <w:szCs w:val="22"/>
        </w:rPr>
        <w:t xml:space="preserve">Your Contribution Areas</w:t>
      </w:r>
    </w:p>
    <w:p>
      <w:pPr>
        <w:pStyle w:val="ListParagraph"/>
        <w:numPr>
          <w:ilvl w:val="0"/>
          <w:numId w:val="2"/>
        </w:numPr>
        <w:spacing w:after="60" w:before="60"/>
      </w:pPr>
      <w:r>
        <w:rPr>
          <w:rFonts w:ascii="Arial" w:cs="Arial" w:eastAsia="Arial" w:hAnsi="Arial"/>
          <w:b w:val="false"/>
          <w:bCs w:val="false"/>
          <w:color w:val="111827"/>
          <w:sz w:val="22"/>
          <w:szCs w:val="22"/>
        </w:rPr>
        <w:t xml:space="preserve">GTM strategy — advise on go-to-market approach, ICP, and positioning</w:t>
      </w:r>
    </w:p>
    <w:p>
      <w:pPr>
        <w:pStyle w:val="ListParagraph"/>
        <w:numPr>
          <w:ilvl w:val="0"/>
          <w:numId w:val="2"/>
        </w:numPr>
        <w:spacing w:after="60" w:before="60"/>
      </w:pPr>
      <w:r>
        <w:rPr>
          <w:rFonts w:ascii="Arial" w:cs="Arial" w:eastAsia="Arial" w:hAnsi="Arial"/>
          <w:b w:val="false"/>
          <w:bCs w:val="false"/>
          <w:color w:val="111827"/>
          <w:sz w:val="22"/>
          <w:szCs w:val="22"/>
        </w:rPr>
        <w:t xml:space="preserve">Customer conversations — join key sales calls and prospect meetings when available</w:t>
      </w:r>
    </w:p>
    <w:p>
      <w:pPr>
        <w:pStyle w:val="ListParagraph"/>
        <w:numPr>
          <w:ilvl w:val="0"/>
          <w:numId w:val="2"/>
        </w:numPr>
        <w:spacing w:after="60" w:before="60"/>
      </w:pPr>
      <w:r>
        <w:rPr>
          <w:rFonts w:ascii="Arial" w:cs="Arial" w:eastAsia="Arial" w:hAnsi="Arial"/>
          <w:b w:val="false"/>
          <w:bCs w:val="false"/>
          <w:color w:val="111827"/>
          <w:sz w:val="22"/>
          <w:szCs w:val="22"/>
        </w:rPr>
        <w:t xml:space="preserve">Investor network — introductions and warm referrals to relevant angels or funds</w:t>
      </w:r>
    </w:p>
    <w:p>
      <w:pPr>
        <w:pStyle w:val="ListParagraph"/>
        <w:numPr>
          <w:ilvl w:val="0"/>
          <w:numId w:val="2"/>
        </w:numPr>
        <w:spacing w:after="60" w:before="60"/>
      </w:pPr>
      <w:r>
        <w:rPr>
          <w:rFonts w:ascii="Arial" w:cs="Arial" w:eastAsia="Arial" w:hAnsi="Arial"/>
          <w:b w:val="false"/>
          <w:bCs w:val="false"/>
          <w:color w:val="111827"/>
          <w:sz w:val="22"/>
          <w:szCs w:val="22"/>
        </w:rPr>
        <w:t xml:space="preserve">Hiring decisions — provide input when we start building the team</w:t>
      </w:r>
    </w:p>
    <w:p>
      <w:pPr>
        <w:pStyle w:val="ListParagraph"/>
        <w:numPr>
          <w:ilvl w:val="0"/>
          <w:numId w:val="2"/>
        </w:numPr>
        <w:spacing w:after="60" w:before="60"/>
      </w:pPr>
      <w:r>
        <w:rPr>
          <w:rFonts w:ascii="Arial" w:cs="Arial" w:eastAsia="Arial" w:hAnsi="Arial"/>
          <w:b w:val="false"/>
          <w:bCs w:val="false"/>
          <w:color w:val="111827"/>
          <w:sz w:val="22"/>
          <w:szCs w:val="22"/>
        </w:rPr>
        <w:t xml:space="preserve">Growth playbook — share what has worked (and failed) from your past SaaS builds</w:t>
      </w:r>
    </w:p>
    <w:p>
      <w:pPr>
        <w:pStyle w:val="ListParagraph"/>
        <w:numPr>
          <w:ilvl w:val="0"/>
          <w:numId w:val="2"/>
        </w:numPr>
        <w:spacing w:after="60" w:before="60"/>
      </w:pPr>
      <w:r>
        <w:rPr>
          <w:rFonts w:ascii="Arial" w:cs="Arial" w:eastAsia="Arial" w:hAnsi="Arial"/>
          <w:b w:val="false"/>
          <w:bCs w:val="false"/>
          <w:color w:val="111827"/>
          <w:sz w:val="22"/>
          <w:szCs w:val="22"/>
        </w:rPr>
        <w:t xml:space="preserve">Ad-hoc execution — jump in on specific tasks, campaigns, or partnerships as needed</w:t>
      </w:r>
    </w:p>
    <w:p>
      <w:pPr>
        <w:spacing w:after="80" w:before="200"/>
      </w:pPr>
      <w:r>
        <w:rPr>
          <w:rFonts w:ascii="Arial" w:cs="Arial" w:eastAsia="Arial" w:hAnsi="Arial"/>
          <w:b/>
          <w:bCs/>
          <w:color w:val="111827"/>
          <w:sz w:val="22"/>
          <w:szCs w:val="22"/>
        </w:rPr>
        <w:t xml:space="preserve">Ayush's Domain (Full-Time)</w:t>
      </w:r>
    </w:p>
    <w:p>
      <w:pPr>
        <w:pStyle w:val="ListParagraph"/>
        <w:numPr>
          <w:ilvl w:val="0"/>
          <w:numId w:val="2"/>
        </w:numPr>
        <w:spacing w:after="60" w:before="60"/>
      </w:pPr>
      <w:r>
        <w:rPr>
          <w:rFonts w:ascii="Arial" w:cs="Arial" w:eastAsia="Arial" w:hAnsi="Arial"/>
          <w:b w:val="false"/>
          <w:bCs w:val="false"/>
          <w:color w:val="111827"/>
          <w:sz w:val="22"/>
          <w:szCs w:val="22"/>
        </w:rPr>
        <w:t xml:space="preserve">Full product ownership — features, AI pipeline, infrastructure, reliability</w:t>
      </w:r>
    </w:p>
    <w:p>
      <w:pPr>
        <w:pStyle w:val="ListParagraph"/>
        <w:numPr>
          <w:ilvl w:val="0"/>
          <w:numId w:val="2"/>
        </w:numPr>
        <w:spacing w:after="60" w:before="60"/>
      </w:pPr>
      <w:r>
        <w:rPr>
          <w:rFonts w:ascii="Arial" w:cs="Arial" w:eastAsia="Arial" w:hAnsi="Arial"/>
          <w:b w:val="false"/>
          <w:bCs w:val="false"/>
          <w:color w:val="111827"/>
          <w:sz w:val="22"/>
          <w:szCs w:val="22"/>
        </w:rPr>
        <w:t xml:space="preserve">Day-to-day operations and revenue execution</w:t>
      </w:r>
    </w:p>
    <w:p>
      <w:pPr>
        <w:pStyle w:val="ListParagraph"/>
        <w:numPr>
          <w:ilvl w:val="0"/>
          <w:numId w:val="2"/>
        </w:numPr>
        <w:spacing w:after="60" w:before="60"/>
      </w:pPr>
      <w:r>
        <w:rPr>
          <w:rFonts w:ascii="Arial" w:cs="Arial" w:eastAsia="Arial" w:hAnsi="Arial"/>
          <w:b w:val="false"/>
          <w:bCs w:val="false"/>
          <w:color w:val="111827"/>
          <w:sz w:val="22"/>
          <w:szCs w:val="22"/>
        </w:rPr>
        <w:t xml:space="preserve">Customer support, onboarding, and retention</w:t>
      </w:r>
    </w:p>
    <w:p>
      <w:pPr>
        <w:pStyle w:val="ListParagraph"/>
        <w:numPr>
          <w:ilvl w:val="0"/>
          <w:numId w:val="2"/>
        </w:numPr>
        <w:spacing w:after="60" w:before="60"/>
      </w:pPr>
      <w:r>
        <w:rPr>
          <w:rFonts w:ascii="Arial" w:cs="Arial" w:eastAsia="Arial" w:hAnsi="Arial"/>
          <w:b w:val="false"/>
          <w:bCs w:val="false"/>
          <w:color w:val="111827"/>
          <w:sz w:val="22"/>
          <w:szCs w:val="22"/>
        </w:rPr>
        <w:t xml:space="preserve">API integrations, billing, backend systems</w:t>
      </w:r>
    </w:p>
    <w:p>
      <w:pPr>
        <w:pBdr>
          <w:bottom w:val="single" w:color="1a56db" w:sz="4"/>
        </w:pBdr>
        <w:spacing w:after="120" w:before="400"/>
      </w:pPr>
      <w:r>
        <w:rPr>
          <w:rFonts w:ascii="Arial" w:cs="Arial" w:eastAsia="Arial" w:hAnsi="Arial"/>
          <w:b/>
          <w:bCs/>
          <w:color w:val="1a56db"/>
          <w:sz w:val="28"/>
          <w:szCs w:val="28"/>
        </w:rPr>
        <w:t xml:space="preserve">What We're Building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51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Goal</w:t>
            </w:r>
          </w:p>
        </w:tc>
      </w:tr>
      <w:tr>
        <w:tc>
          <w:tcPr>
            <w:tcW w:type="dxa" w:w="2200"/>
            <w:tcBorders>
              <w:top w:val="single" w:color="D1D5DB" w:sz="1"/>
              <w:left w:val="single" w:color="D1D5DB" w:sz="1"/>
              <w:bottom w:val="single" w:color="D1D5DB" w:sz="1"/>
              <w:right w:val="single" w:color="D1D5DB" w:sz="1"/>
            </w:tcBorders>
            <w:shd w:fill="EBF2FF" w:val="clear"/>
            <w:tcMar>
              <w:top w:type="dxa" w:w="100"/>
              <w:left w:type="dxa" w:w="140"/>
              <w:bottom w:type="dxa" w:w="100"/>
              <w:right w:type="dxa" w:w="140"/>
            </w:tcMar>
            <w:vAlign w:val="center"/>
          </w:tcPr>
          <w:p>
            <w:r>
              <w:rPr>
                <w:rFonts w:ascii="Arial" w:cs="Arial" w:eastAsia="Arial" w:hAnsi="Arial"/>
                <w:b/>
                <w:bCs/>
                <w:color w:val="1a56db"/>
                <w:sz w:val="20"/>
                <w:szCs w:val="20"/>
              </w:rPr>
              <w:t xml:space="preserve">Phase 1 — First Revenue</w:t>
            </w:r>
          </w:p>
        </w:tc>
        <w:tc>
          <w:tcPr>
            <w:tcW w:type="dxa" w:w="2000"/>
            <w:tcBorders>
              <w:top w:val="single" w:color="D1D5DB" w:sz="1"/>
              <w:left w:val="single" w:color="D1D5DB" w:sz="1"/>
              <w:bottom w:val="single" w:color="D1D5DB" w:sz="1"/>
              <w:right w:val="single" w:color="D1D5DB" w:sz="1"/>
            </w:tcBorders>
            <w:shd w:fill="EBF2FF" w:val="clear"/>
            <w:tcMar>
              <w:top w:type="dxa" w:w="100"/>
              <w:left w:type="dxa" w:w="140"/>
              <w:bottom w:type="dxa" w:w="100"/>
              <w:right w:type="dxa" w:w="140"/>
            </w:tcMar>
          </w:tcPr>
          <w:p>
            <w:r>
              <w:rPr>
                <w:rFonts w:ascii="Arial" w:cs="Arial" w:eastAsia="Arial" w:hAnsi="Arial"/>
                <w:color w:val="111827"/>
                <w:sz w:val="20"/>
                <w:szCs w:val="20"/>
              </w:rPr>
              <w:t xml:space="preserve">Month 1–3</w:t>
            </w:r>
          </w:p>
        </w:tc>
        <w:tc>
          <w:tcPr>
            <w:tcW w:type="dxa" w:w="5160"/>
            <w:tcBorders>
              <w:top w:val="single" w:color="D1D5DB" w:sz="1"/>
              <w:left w:val="single" w:color="D1D5DB" w:sz="1"/>
              <w:bottom w:val="single" w:color="D1D5DB" w:sz="1"/>
              <w:right w:val="single" w:color="D1D5DB" w:sz="1"/>
            </w:tcBorders>
            <w:shd w:fill="EBF2FF" w:val="clear"/>
            <w:tcMar>
              <w:top w:type="dxa" w:w="100"/>
              <w:left w:type="dxa" w:w="140"/>
              <w:bottom w:type="dxa" w:w="100"/>
              <w:right w:type="dxa" w:w="140"/>
            </w:tcMar>
          </w:tcPr>
          <w:p>
            <w:r>
              <w:rPr>
                <w:rFonts w:ascii="Arial" w:cs="Arial" w:eastAsia="Arial" w:hAnsi="Arial"/>
                <w:color w:val="111827"/>
                <w:sz w:val="20"/>
                <w:szCs w:val="20"/>
              </w:rPr>
              <w:t xml:space="preserve">Get to 10 paying customers. Validate ICP and pricing. Build the outbound engine using Flowfiy itself.</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r>
              <w:rPr>
                <w:rFonts w:ascii="Arial" w:cs="Arial" w:eastAsia="Arial" w:hAnsi="Arial"/>
                <w:b/>
                <w:bCs/>
                <w:color w:val="1a56db"/>
                <w:sz w:val="20"/>
                <w:szCs w:val="20"/>
              </w:rPr>
              <w:t xml:space="preserve">Phase 2 — Growth</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Month 3–6</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₹1L MRR. Launch agency partnerships. Begin content and community flywheel.</w:t>
            </w:r>
          </w:p>
        </w:tc>
      </w:tr>
      <w:tr>
        <w:tc>
          <w:tcPr>
            <w:tcW w:type="dxa" w:w="2200"/>
            <w:tcBorders>
              <w:top w:val="single" w:color="D1D5DB" w:sz="1"/>
              <w:left w:val="single" w:color="D1D5DB" w:sz="1"/>
              <w:bottom w:val="single" w:color="D1D5DB" w:sz="1"/>
              <w:right w:val="single" w:color="D1D5DB" w:sz="1"/>
            </w:tcBorders>
            <w:shd w:fill="EBF2FF" w:val="clear"/>
            <w:tcMar>
              <w:top w:type="dxa" w:w="100"/>
              <w:left w:type="dxa" w:w="140"/>
              <w:bottom w:type="dxa" w:w="100"/>
              <w:right w:type="dxa" w:w="140"/>
            </w:tcMar>
            <w:vAlign w:val="center"/>
          </w:tcPr>
          <w:p>
            <w:r>
              <w:rPr>
                <w:rFonts w:ascii="Arial" w:cs="Arial" w:eastAsia="Arial" w:hAnsi="Arial"/>
                <w:b/>
                <w:bCs/>
                <w:color w:val="1a56db"/>
                <w:sz w:val="20"/>
                <w:szCs w:val="20"/>
              </w:rPr>
              <w:t xml:space="preserve">Phase 3 — Scale</w:t>
            </w:r>
          </w:p>
        </w:tc>
        <w:tc>
          <w:tcPr>
            <w:tcW w:type="dxa" w:w="2000"/>
            <w:tcBorders>
              <w:top w:val="single" w:color="D1D5DB" w:sz="1"/>
              <w:left w:val="single" w:color="D1D5DB" w:sz="1"/>
              <w:bottom w:val="single" w:color="D1D5DB" w:sz="1"/>
              <w:right w:val="single" w:color="D1D5DB" w:sz="1"/>
            </w:tcBorders>
            <w:shd w:fill="EBF2FF" w:val="clear"/>
            <w:tcMar>
              <w:top w:type="dxa" w:w="100"/>
              <w:left w:type="dxa" w:w="140"/>
              <w:bottom w:type="dxa" w:w="100"/>
              <w:right w:type="dxa" w:w="140"/>
            </w:tcMar>
          </w:tcPr>
          <w:p>
            <w:r>
              <w:rPr>
                <w:rFonts w:ascii="Arial" w:cs="Arial" w:eastAsia="Arial" w:hAnsi="Arial"/>
                <w:color w:val="111827"/>
                <w:sz w:val="20"/>
                <w:szCs w:val="20"/>
              </w:rPr>
              <w:t xml:space="preserve">Month 6–12</w:t>
            </w:r>
          </w:p>
        </w:tc>
        <w:tc>
          <w:tcPr>
            <w:tcW w:type="dxa" w:w="5160"/>
            <w:tcBorders>
              <w:top w:val="single" w:color="D1D5DB" w:sz="1"/>
              <w:left w:val="single" w:color="D1D5DB" w:sz="1"/>
              <w:bottom w:val="single" w:color="D1D5DB" w:sz="1"/>
              <w:right w:val="single" w:color="D1D5DB" w:sz="1"/>
            </w:tcBorders>
            <w:shd w:fill="EBF2FF" w:val="clear"/>
            <w:tcMar>
              <w:top w:type="dxa" w:w="100"/>
              <w:left w:type="dxa" w:w="140"/>
              <w:bottom w:type="dxa" w:w="100"/>
              <w:right w:type="dxa" w:w="140"/>
            </w:tcMar>
          </w:tcPr>
          <w:p>
            <w:r>
              <w:rPr>
                <w:rFonts w:ascii="Arial" w:cs="Arial" w:eastAsia="Arial" w:hAnsi="Arial"/>
                <w:color w:val="111827"/>
                <w:sz w:val="20"/>
                <w:szCs w:val="20"/>
              </w:rPr>
              <w:t xml:space="preserve">₹5–10L MRR. Fundraise if needed, or stay profitable and grow. Expand team.</w:t>
            </w:r>
          </w:p>
        </w:tc>
      </w:tr>
    </w:tbl>
    <w:p>
      <w:pPr>
        <w:pBdr>
          <w:bottom w:val="single" w:color="1a56db" w:sz="4"/>
        </w:pBdr>
        <w:spacing w:after="120" w:before="400"/>
      </w:pPr>
      <w:r>
        <w:rPr>
          <w:rFonts w:ascii="Arial" w:cs="Arial" w:eastAsia="Arial" w:hAnsi="Arial"/>
          <w:b/>
          <w:bCs/>
          <w:color w:val="1a56db"/>
          <w:sz w:val="28"/>
          <w:szCs w:val="28"/>
        </w:rPr>
        <w:t xml:space="preserve">Terms of Engagement</w:t>
      </w:r>
    </w:p>
    <w:p>
      <w:pPr>
        <w:spacing w:after="80" w:before="80"/>
      </w:pPr>
      <w:r>
        <w:rPr>
          <w:rFonts w:ascii="Arial" w:cs="Arial" w:eastAsia="Arial" w:hAnsi="Arial"/>
          <w:color w:val="111827"/>
          <w:sz w:val="22"/>
          <w:szCs w:val="22"/>
        </w:rPr>
        <w:t xml:space="preserve">This is a trial-first arrangement. No equity changes hands upfront. After 3 months of working together, we reassess — based on real contribution and mutual fit — and decide on equity, deeper involvement, or a different structure altogether.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1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200"/>
            <w:tcBorders>
              <w:top w:val="single" w:color="D1D5DB" w:sz="1"/>
              <w:left w:val="single" w:color="D1D5DB" w:sz="1"/>
              <w:bottom w:val="single" w:color="D1D5DB" w:sz="1"/>
              <w:right w:val="single" w:color="D1D5DB" w:sz="1"/>
            </w:tcBorders>
            <w:shd w:fill="EBF2FF" w:val="clear"/>
            <w:tcMar>
              <w:top w:type="dxa" w:w="100"/>
              <w:left w:type="dxa" w:w="140"/>
              <w:bottom w:type="dxa" w:w="100"/>
              <w:right w:type="dxa" w:w="140"/>
            </w:tcMar>
          </w:tcPr>
          <w:p>
            <w:r>
              <w:rPr>
                <w:rFonts w:ascii="Arial" w:cs="Arial" w:eastAsia="Arial" w:hAnsi="Arial"/>
                <w:b/>
                <w:bCs/>
                <w:color w:val="111827"/>
                <w:sz w:val="20"/>
                <w:szCs w:val="20"/>
              </w:rPr>
              <w:t xml:space="preserve">Equity</w:t>
            </w:r>
          </w:p>
        </w:tc>
        <w:tc>
          <w:tcPr>
            <w:tcW w:type="dxa" w:w="6160"/>
            <w:tcBorders>
              <w:top w:val="single" w:color="D1D5DB" w:sz="1"/>
              <w:left w:val="single" w:color="D1D5DB" w:sz="1"/>
              <w:bottom w:val="single" w:color="D1D5DB" w:sz="1"/>
              <w:right w:val="single" w:color="D1D5DB" w:sz="1"/>
            </w:tcBorders>
            <w:shd w:fill="EBF2FF" w:val="clear"/>
            <w:tcMar>
              <w:top w:type="dxa" w:w="100"/>
              <w:left w:type="dxa" w:w="140"/>
              <w:bottom w:type="dxa" w:w="100"/>
              <w:right w:type="dxa" w:w="140"/>
            </w:tcMar>
          </w:tcPr>
          <w:p>
            <w:r>
              <w:rPr>
                <w:rFonts w:ascii="Arial" w:cs="Arial" w:eastAsia="Arial" w:hAnsi="Arial"/>
                <w:color w:val="111827"/>
                <w:sz w:val="20"/>
                <w:szCs w:val="20"/>
              </w:rPr>
              <w:t xml:space="preserve">None at this stage — revisited at the 3-month mark</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Commitment</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Part-time — approx. 10–15 hrs/week, flexible schedule</w:t>
            </w:r>
          </w:p>
        </w:tc>
      </w:tr>
      <w:tr>
        <w:tc>
          <w:tcPr>
            <w:tcW w:type="dxa" w:w="3200"/>
            <w:tcBorders>
              <w:top w:val="single" w:color="D1D5DB" w:sz="1"/>
              <w:left w:val="single" w:color="D1D5DB" w:sz="1"/>
              <w:bottom w:val="single" w:color="D1D5DB" w:sz="1"/>
              <w:right w:val="single" w:color="D1D5DB" w:sz="1"/>
            </w:tcBorders>
            <w:shd w:fill="EBF2FF" w:val="clear"/>
            <w:tcMar>
              <w:top w:type="dxa" w:w="100"/>
              <w:left w:type="dxa" w:w="140"/>
              <w:bottom w:type="dxa" w:w="100"/>
              <w:right w:type="dxa" w:w="140"/>
            </w:tcMar>
          </w:tcPr>
          <w:p>
            <w:r>
              <w:rPr>
                <w:rFonts w:ascii="Arial" w:cs="Arial" w:eastAsia="Arial" w:hAnsi="Arial"/>
                <w:b/>
                <w:bCs/>
                <w:color w:val="111827"/>
                <w:sz w:val="20"/>
                <w:szCs w:val="20"/>
              </w:rPr>
              <w:t xml:space="preserve">Compensation</w:t>
            </w:r>
          </w:p>
        </w:tc>
        <w:tc>
          <w:tcPr>
            <w:tcW w:type="dxa" w:w="6160"/>
            <w:tcBorders>
              <w:top w:val="single" w:color="D1D5DB" w:sz="1"/>
              <w:left w:val="single" w:color="D1D5DB" w:sz="1"/>
              <w:bottom w:val="single" w:color="D1D5DB" w:sz="1"/>
              <w:right w:val="single" w:color="D1D5DB" w:sz="1"/>
            </w:tcBorders>
            <w:shd w:fill="EBF2FF" w:val="clear"/>
            <w:tcMar>
              <w:top w:type="dxa" w:w="100"/>
              <w:left w:type="dxa" w:w="140"/>
              <w:bottom w:type="dxa" w:w="100"/>
              <w:right w:type="dxa" w:w="140"/>
            </w:tcMar>
          </w:tcPr>
          <w:p>
            <w:r>
              <w:rPr>
                <w:rFonts w:ascii="Arial" w:cs="Arial" w:eastAsia="Arial" w:hAnsi="Arial"/>
                <w:color w:val="111827"/>
                <w:sz w:val="20"/>
                <w:szCs w:val="20"/>
              </w:rPr>
              <w:t xml:space="preserve">None for now — this is contribution-first, equity-later</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Trial Period</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3 months — both sides evaluate fit before any formal agreement</w:t>
            </w:r>
          </w:p>
        </w:tc>
      </w:tr>
      <w:tr>
        <w:tc>
          <w:tcPr>
            <w:tcW w:type="dxa" w:w="3200"/>
            <w:tcBorders>
              <w:top w:val="single" w:color="D1D5DB" w:sz="1"/>
              <w:left w:val="single" w:color="D1D5DB" w:sz="1"/>
              <w:bottom w:val="single" w:color="D1D5DB" w:sz="1"/>
              <w:right w:val="single" w:color="D1D5DB" w:sz="1"/>
            </w:tcBorders>
            <w:shd w:fill="EBF2FF" w:val="clear"/>
            <w:tcMar>
              <w:top w:type="dxa" w:w="100"/>
              <w:left w:type="dxa" w:w="140"/>
              <w:bottom w:type="dxa" w:w="100"/>
              <w:right w:type="dxa" w:w="140"/>
            </w:tcMar>
          </w:tcPr>
          <w:p>
            <w:r>
              <w:rPr>
                <w:rFonts w:ascii="Arial" w:cs="Arial" w:eastAsia="Arial" w:hAnsi="Arial"/>
                <w:b/>
                <w:bCs/>
                <w:color w:val="111827"/>
                <w:sz w:val="20"/>
                <w:szCs w:val="20"/>
              </w:rPr>
              <w:t xml:space="preserve">Review Milestone</w:t>
            </w:r>
          </w:p>
        </w:tc>
        <w:tc>
          <w:tcPr>
            <w:tcW w:type="dxa" w:w="6160"/>
            <w:tcBorders>
              <w:top w:val="single" w:color="D1D5DB" w:sz="1"/>
              <w:left w:val="single" w:color="D1D5DB" w:sz="1"/>
              <w:bottom w:val="single" w:color="D1D5DB" w:sz="1"/>
              <w:right w:val="single" w:color="D1D5DB" w:sz="1"/>
            </w:tcBorders>
            <w:shd w:fill="EBF2FF" w:val="clear"/>
            <w:tcMar>
              <w:top w:type="dxa" w:w="100"/>
              <w:left w:type="dxa" w:w="140"/>
              <w:bottom w:type="dxa" w:w="100"/>
              <w:right w:type="dxa" w:w="140"/>
            </w:tcMar>
          </w:tcPr>
          <w:p>
            <w:r>
              <w:rPr>
                <w:rFonts w:ascii="Arial" w:cs="Arial" w:eastAsia="Arial" w:hAnsi="Arial"/>
                <w:color w:val="111827"/>
                <w:sz w:val="20"/>
                <w:szCs w:val="20"/>
              </w:rPr>
              <w:t xml:space="preserve">After 3 months: equity, co-founder title, and deeper role discussed based on contribution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FFBEB" w:val="clear"/>
            <w:tcMar>
              <w:top w:type="dxa" w:w="120"/>
              <w:left w:type="dxa" w:w="180"/>
              <w:bottom w:type="dxa" w:w="120"/>
              <w:right w:type="dxa" w:w="180"/>
            </w:tcMar>
          </w:tcPr>
          <w:p>
            <w:pPr>
              <w:spacing w:after="60" w:before="0"/>
            </w:pPr>
            <w:r>
              <w:rPr>
                <w:rFonts w:ascii="Arial" w:cs="Arial" w:eastAsia="Arial" w:hAnsi="Arial"/>
                <w:b/>
                <w:bCs/>
                <w:color w:val="D97706"/>
                <w:sz w:val="20"/>
                <w:szCs w:val="20"/>
              </w:rPr>
              <w:t xml:space="preserve">Why no equity upfront?</w:t>
            </w:r>
          </w:p>
          <w:p>
            <w:pPr>
              <w:spacing w:after="0" w:before="0"/>
            </w:pPr>
            <w:r>
              <w:rPr>
                <w:rFonts w:ascii="Arial" w:cs="Arial" w:eastAsia="Arial" w:hAnsi="Arial"/>
                <w:color w:val="92400E"/>
                <w:sz w:val="20"/>
                <w:szCs w:val="20"/>
              </w:rPr>
              <w:t xml:space="preserve">Equity is the most valuable thing a founder can give away. Giving it before we've seen how we work together would be premature — for both of us. The 3-month trial lets us build real trust, see actual contribution, and then structure something that makes sense. If the fit is right, a meaningful equity conversation is absolutely on the table.</w:t>
            </w:r>
          </w:p>
        </w:tc>
      </w:tr>
    </w:tbl>
    <w:p>
      <w:pPr>
        <w:pBdr>
          <w:bottom w:val="single" w:color="1a56db" w:sz="4"/>
        </w:pBdr>
        <w:spacing w:after="120" w:before="400"/>
      </w:pPr>
      <w:r>
        <w:rPr>
          <w:rFonts w:ascii="Arial" w:cs="Arial" w:eastAsia="Arial" w:hAnsi="Arial"/>
          <w:b/>
          <w:bCs/>
          <w:color w:val="1a56db"/>
          <w:sz w:val="28"/>
          <w:szCs w:val="28"/>
        </w:rPr>
        <w:t xml:space="preserve">What I'm Asking From You</w:t>
      </w:r>
    </w:p>
    <w:p>
      <w:pPr>
        <w:pStyle w:val="ListParagraph"/>
        <w:numPr>
          <w:ilvl w:val="0"/>
          <w:numId w:val="2"/>
        </w:numPr>
        <w:spacing w:after="60" w:before="60"/>
      </w:pPr>
      <w:r>
        <w:rPr>
          <w:rFonts w:ascii="Arial" w:cs="Arial" w:eastAsia="Arial" w:hAnsi="Arial"/>
          <w:b w:val="false"/>
          <w:bCs w:val="false"/>
          <w:color w:val="111827"/>
          <w:sz w:val="22"/>
          <w:szCs w:val="22"/>
        </w:rPr>
        <w:t xml:space="preserve">~10–15 hours per week — consistent engagement, not disappearing for weeks at a time</w:t>
      </w:r>
    </w:p>
    <w:p>
      <w:pPr>
        <w:pStyle w:val="ListParagraph"/>
        <w:numPr>
          <w:ilvl w:val="0"/>
          <w:numId w:val="2"/>
        </w:numPr>
        <w:spacing w:after="60" w:before="60"/>
      </w:pPr>
      <w:r>
        <w:rPr>
          <w:rFonts w:ascii="Arial" w:cs="Arial" w:eastAsia="Arial" w:hAnsi="Arial"/>
          <w:b w:val="false"/>
          <w:bCs w:val="false"/>
          <w:color w:val="111827"/>
          <w:sz w:val="22"/>
          <w:szCs w:val="22"/>
        </w:rPr>
        <w:t xml:space="preserve">Strategic input on GTM, positioning, and first customers — your SaaS playbook is the asset</w:t>
      </w:r>
    </w:p>
    <w:p>
      <w:pPr>
        <w:pStyle w:val="ListParagraph"/>
        <w:numPr>
          <w:ilvl w:val="0"/>
          <w:numId w:val="2"/>
        </w:numPr>
        <w:spacing w:after="60" w:before="60"/>
      </w:pPr>
      <w:r>
        <w:rPr>
          <w:rFonts w:ascii="Arial" w:cs="Arial" w:eastAsia="Arial" w:hAnsi="Arial"/>
          <w:b w:val="false"/>
          <w:bCs w:val="false"/>
          <w:color w:val="111827"/>
          <w:sz w:val="22"/>
          <w:szCs w:val="22"/>
        </w:rPr>
        <w:t xml:space="preserve">Available for key calls — investor meetings, important prospect calls, major decisions</w:t>
      </w:r>
    </w:p>
    <w:p>
      <w:pPr>
        <w:pStyle w:val="ListParagraph"/>
        <w:numPr>
          <w:ilvl w:val="0"/>
          <w:numId w:val="2"/>
        </w:numPr>
        <w:spacing w:after="60" w:before="60"/>
      </w:pPr>
      <w:r>
        <w:rPr>
          <w:rFonts w:ascii="Arial" w:cs="Arial" w:eastAsia="Arial" w:hAnsi="Arial"/>
          <w:b w:val="false"/>
          <w:bCs w:val="false"/>
          <w:color w:val="111827"/>
          <w:sz w:val="22"/>
          <w:szCs w:val="22"/>
        </w:rPr>
        <w:t xml:space="preserve">Clear communication — if you're unavailable for a stretch, just let me know in advance</w:t>
      </w:r>
    </w:p>
    <w:p>
      <w:pPr>
        <w:pStyle w:val="ListParagraph"/>
        <w:numPr>
          <w:ilvl w:val="0"/>
          <w:numId w:val="2"/>
        </w:numPr>
        <w:spacing w:after="60" w:before="60"/>
      </w:pPr>
      <w:r>
        <w:rPr>
          <w:rFonts w:ascii="Arial" w:cs="Arial" w:eastAsia="Arial" w:hAnsi="Arial"/>
          <w:b w:val="false"/>
          <w:bCs w:val="false"/>
          <w:color w:val="111827"/>
          <w:sz w:val="22"/>
          <w:szCs w:val="22"/>
        </w:rPr>
        <w:t xml:space="preserve">A 6-month real run — enough runway to validate whether this works for both of us</w:t>
      </w:r>
    </w:p>
    <w:p>
      <w:pPr>
        <w:pStyle w:val="ListParagraph"/>
        <w:numPr>
          <w:ilvl w:val="0"/>
          <w:numId w:val="2"/>
        </w:numPr>
        <w:spacing w:after="60" w:before="60"/>
      </w:pPr>
      <w:r>
        <w:rPr>
          <w:rFonts w:ascii="Arial" w:cs="Arial" w:eastAsia="Arial" w:hAnsi="Arial"/>
          <w:b w:val="false"/>
          <w:bCs w:val="false"/>
          <w:color w:val="111827"/>
          <w:sz w:val="22"/>
          <w:szCs w:val="22"/>
        </w:rPr>
        <w:t xml:space="preserve">Honest feedback — if you see something broken in the product or strategy, tell me directly</w:t>
      </w:r>
    </w:p>
    <w:p>
      <w:pPr>
        <w:pBdr>
          <w:bottom w:val="single" w:color="1a56db" w:sz="4"/>
        </w:pBdr>
        <w:spacing w:after="120" w:before="400"/>
      </w:pPr>
      <w:r>
        <w:rPr>
          <w:rFonts w:ascii="Arial" w:cs="Arial" w:eastAsia="Arial" w:hAnsi="Arial"/>
          <w:b/>
          <w:bCs/>
          <w:color w:val="1a56db"/>
          <w:sz w:val="28"/>
          <w:szCs w:val="28"/>
        </w:rPr>
        <w:t xml:space="preserve">Why Now</w:t>
      </w:r>
    </w:p>
    <w:p>
      <w:pPr>
        <w:spacing w:after="80" w:before="80"/>
      </w:pPr>
      <w:r>
        <w:rPr>
          <w:rFonts w:ascii="Arial" w:cs="Arial" w:eastAsia="Arial" w:hAnsi="Arial"/>
          <w:color w:val="111827"/>
          <w:sz w:val="22"/>
          <w:szCs w:val="22"/>
        </w:rPr>
        <w:t xml:space="preserve">The market timing is right. India's B2B SaaS ecosystem is growing fast, Western tools are expensive, and there is no dominant AI outbound player built for this market. Flowfiy can own that space — but only if we move in the next 6 months before someone else does.</w:t>
      </w:r>
    </w:p>
    <w:p>
      <w:pPr>
        <w:spacing w:after="300" w:before="100"/>
      </w:pPr>
      <w:r>
        <w:rPr>
          <w:rFonts w:ascii="Arial" w:cs="Arial" w:eastAsia="Arial" w:hAnsi="Arial"/>
          <w:b/>
          <w:bCs/>
          <w:color w:val="111827"/>
          <w:sz w:val="22"/>
          <w:szCs w:val="22"/>
        </w:rPr>
        <w:t xml:space="preserve">I built the engine. I need a sharp advisor who can help me steer it — let's see what we can build together in 3 months.</w:t>
      </w:r>
    </w:p>
    <w:p>
      <w:pPr>
        <w:pBdr>
          <w:top w:val="single" w:color="D1D5DB" w:sz="2"/>
        </w:pBdr>
        <w:spacing w:after="200" w:before="200"/>
      </w:pPr>
    </w:p>
    <w:p>
      <w:pPr>
        <w:spacing w:after="80" w:before="80"/>
      </w:pPr>
      <w:r>
        <w:rPr>
          <w:rFonts w:ascii="Arial" w:cs="Arial" w:eastAsia="Arial" w:hAnsi="Arial"/>
          <w:color w:val="111827"/>
          <w:sz w:val="22"/>
          <w:szCs w:val="22"/>
        </w:rPr>
        <w:t xml:space="preserve">Looking forward to your thoughts, Rajveer. Happy to discuss anything above — equity, scope, timeline — on our call.</w:t>
      </w:r>
    </w:p>
    <w:p>
      <w:pPr>
        <w:spacing w:after="200" w:before="160"/>
      </w:pPr>
      <w:r>
        <w:rPr>
          <w:rFonts w:ascii="Arial" w:cs="Arial" w:eastAsia="Arial" w:hAnsi="Arial"/>
          <w:b/>
          <w:bCs/>
          <w:color w:val="1a56db"/>
          <w:sz w:val="24"/>
          <w:szCs w:val="24"/>
        </w:rPr>
        <w:t xml:space="preserve">Let's build this.</w:t>
      </w:r>
    </w:p>
    <w:p>
      <w:pPr>
        <w:spacing w:after="80" w:before="80"/>
      </w:pPr>
      <w:r>
        <w:rPr>
          <w:rFonts w:ascii="Arial" w:cs="Arial" w:eastAsia="Arial" w:hAnsi="Arial"/>
          <w:color w:val="111827"/>
          <w:sz w:val="22"/>
          <w:szCs w:val="22"/>
        </w:rPr>
        <w:t xml:space="preserve">Ayush Saha</w:t>
      </w:r>
    </w:p>
    <w:p>
      <w:pPr>
        <w:spacing w:after="40" w:before="40"/>
      </w:pPr>
      <w:r>
        <w:rPr>
          <w:rFonts w:ascii="Arial" w:cs="Arial" w:eastAsia="Arial" w:hAnsi="Arial"/>
          <w:color w:val="6B7280"/>
          <w:sz w:val="22"/>
          <w:szCs w:val="22"/>
        </w:rPr>
        <w:t xml:space="preserve">Founder, Flowfiy</w:t>
      </w:r>
    </w:p>
    <w:p>
      <w:pPr>
        <w:spacing w:after="40" w:before="40"/>
      </w:pPr>
      <w:hyperlink w:history="1" r:id="rIdoy2lxtcg9vqz3fo6bth-b">
        <w:r>
          <w:rPr>
            <w:rFonts w:ascii="Arial" w:cs="Arial" w:eastAsia="Arial" w:hAnsi="Arial"/>
            <w:color w:val="1a56db"/>
            <w:sz w:val="22"/>
            <w:szCs w:val="22"/>
            <w:u w:val="single"/>
          </w:rPr>
          <w:t xml:space="preserve">www.flowfiy.com</w:t>
        </w:r>
      </w:hyperlink>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spacing w:before="100"/>
    </w:pPr>
    <w:r>
      <w:rPr>
        <w:rFonts w:ascii="Arial" w:cs="Arial" w:eastAsia="Arial" w:hAnsi="Arial"/>
        <w:color w:val="9CA3AF"/>
        <w:sz w:val="18"/>
        <w:szCs w:val="18"/>
      </w:rPr>
      <w:t xml:space="preserve">flowfiy.co  |  ayush@flowfiy.co</w:t>
    </w:r>
    <w:r>
      <w:rPr>
        <w:rFonts w:ascii="Arial" w:cs="Arial" w:eastAsia="Arial" w:hAnsi="Arial"/>
        <w:color w:val="9CA3AF"/>
        <w:sz w:val="18"/>
        <w:szCs w:val="18"/>
      </w:rPr>
      <w:t xml:space="preserve">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pBdr>
    </w:pPr>
    <w:r>
      <w:rPr>
        <w:rFonts w:ascii="Arial" w:cs="Arial" w:eastAsia="Arial" w:hAnsi="Arial"/>
        <w:b/>
        <w:bCs/>
        <w:color w:val="1a56db"/>
        <w:sz w:val="22"/>
        <w:szCs w:val="22"/>
      </w:rPr>
      <w:t xml:space="preserve">FLOWFIY</w:t>
    </w:r>
    <w:r>
      <w:rPr>
        <w:rFonts w:ascii="Arial" w:cs="Arial" w:eastAsia="Arial" w:hAnsi="Arial"/>
        <w:color w:val="6B7280"/>
        <w:sz w:val="20"/>
        <w:szCs w:val="20"/>
      </w:rPr>
      <w:t xml:space="preserve">  |  Strategic Advisor Proposal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y2lxtcg9vqz3fo6bth-b" Type="http://schemas.openxmlformats.org/officeDocument/2006/relationships/hyperlink" Target="https://www.flowfiy.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2026-05-28T12:04:57.106Z</dcterms:created>
  <dcterms:modified xsi:type="dcterms:W3CDTF">2026-05-28T12:04:57.107Z</dcterms:modified>
</cp:coreProperties>
</file>

<file path=docProps/custom.xml><?xml version="1.0" encoding="utf-8"?>
<Properties xmlns="http://schemas.openxmlformats.org/officeDocument/2006/custom-properties" xmlns:vt="http://schemas.openxmlformats.org/officeDocument/2006/docPropsVTypes"/>
</file>