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40"/>
      </w:pPr>
      <w:r>
        <w:rPr>
          <w:rFonts w:ascii="Arial" w:cs="Arial" w:eastAsia="Arial" w:hAnsi="Arial"/>
          <w:b/>
          <w:bCs/>
          <w:color w:val="7C3AED"/>
          <w:sz w:val="56"/>
          <w:szCs w:val="56"/>
        </w:rPr>
        <w:t xml:space="preserve">FLOWFIY</w:t>
      </w:r>
    </w:p>
    <w:p>
      <w:pPr>
        <w:spacing w:after="80" w:before="0"/>
      </w:pPr>
      <w:r>
        <w:rPr>
          <w:rFonts w:ascii="Arial" w:cs="Arial" w:eastAsia="Arial" w:hAnsi="Arial"/>
          <w:color w:val="111827"/>
          <w:sz w:val="32"/>
          <w:szCs w:val="32"/>
        </w:rPr>
        <w:t xml:space="preserve">Market Research &amp; Competitive Intelligence Report</w:t>
      </w:r>
    </w:p>
    <w:p>
      <w:pPr>
        <w:spacing w:after="80" w:before="0"/>
      </w:pPr>
      <w:r>
        <w:rPr>
          <w:rFonts w:ascii="Arial" w:cs="Arial" w:eastAsia="Arial" w:hAnsi="Arial"/>
          <w:i/>
          <w:iCs/>
          <w:color w:val="6B7280"/>
          <w:sz w:val="22"/>
          <w:szCs w:val="22"/>
        </w:rPr>
        <w:t xml:space="preserve">Full Detailed Edition  ·  May 2026</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5F3FF" w:val="clear"/>
            <w:tcMar>
              <w:top w:type="dxa" w:w="200"/>
              <w:left w:type="dxa" w:w="240"/>
              <w:bottom w:type="dxa" w:w="200"/>
              <w:right w:type="dxa" w:w="240"/>
            </w:tcMar>
          </w:tcPr>
          <w:p>
            <w:r>
              <w:rPr>
                <w:rFonts w:ascii="Arial" w:cs="Arial" w:eastAsia="Arial" w:hAnsi="Arial"/>
                <w:i/>
                <w:iCs/>
                <w:color w:val="374151"/>
                <w:sz w:val="22"/>
                <w:szCs w:val="22"/>
              </w:rPr>
              <w:t xml:space="preserve">Prepared for internal strategy &amp; investor use. Covers TAM/SAM/SOM, competitor deep-dive, ICP analysis, pricing benchmarks, demand drivers, risk assessment, and strategic recommendations.</w:t>
            </w:r>
          </w:p>
        </w:tc>
      </w:tr>
    </w:tbl>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7C3AED" w:sz="12"/>
              <w:bottom w:val="none" w:color="FFFFFF" w:sz="0"/>
              <w:right w:val="none" w:color="FFFFFF" w:sz="0"/>
            </w:tcBorders>
            <w:shd w:fill="F5F3FF" w:val="clear"/>
            <w:tcMar>
              <w:top w:type="dxa" w:w="100"/>
              <w:left w:type="dxa" w:w="200"/>
              <w:bottom w:type="dxa" w:w="100"/>
              <w:right w:type="dxa" w:w="200"/>
            </w:tcMar>
          </w:tcPr>
          <w:p>
            <w:r>
              <w:rPr>
                <w:rFonts w:ascii="Arial" w:cs="Arial" w:eastAsia="Arial" w:hAnsi="Arial"/>
                <w:i/>
                <w:iCs/>
                <w:color w:val="111827"/>
                <w:sz w:val="22"/>
                <w:szCs w:val="22"/>
              </w:rPr>
              <w:t xml:space="preserve">The AI SDR market is the fastest-growing segment of enterprise software — valued at $4.12B in 2025 and heading to $15.01B by 2030 at 29.5% CAGR. Flowfiy sits at the exact intersection of two high-conviction trends: AI-native sales automation and the BYOK (Bring Your Own Key) pricing revolution.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5E7EB" w:sz="1"/>
              <w:left w:val="single" w:color="E5E7EB" w:sz="1"/>
              <w:bottom w:val="single" w:color="E5E7EB" w:sz="1"/>
              <w:right w:val="single" w:color="E5E7EB" w:sz="1"/>
            </w:tcBorders>
            <w:shd w:fill="F3F4F6" w:val="clear"/>
            <w:tcMar>
              <w:top w:type="dxa" w:w="120"/>
              <w:left w:type="dxa" w:w="160"/>
              <w:bottom w:type="dxa" w:w="120"/>
              <w:right w:type="dxa" w:w="160"/>
            </w:tcMar>
          </w:tcPr>
          <w:p>
            <w:pPr>
              <w:jc w:val="center"/>
            </w:pPr>
            <w:r>
              <w:rPr>
                <w:rFonts w:ascii="Arial" w:cs="Arial" w:eastAsia="Arial" w:hAnsi="Arial"/>
                <w:b/>
                <w:bCs/>
                <w:color w:val="7C3AED"/>
                <w:sz w:val="36"/>
                <w:szCs w:val="36"/>
              </w:rPr>
              <w:t xml:space="preserve">$4.12B</w:t>
            </w:r>
          </w:p>
          <w:p>
            <w:pPr>
              <w:jc w:val="center"/>
            </w:pPr>
            <w:r>
              <w:rPr>
                <w:rFonts w:ascii="Arial" w:cs="Arial" w:eastAsia="Arial" w:hAnsi="Arial"/>
                <w:color w:val="6B7280"/>
                <w:sz w:val="18"/>
                <w:szCs w:val="18"/>
              </w:rPr>
              <w:t xml:space="preserve">AI SDR Market 2025</w:t>
            </w:r>
          </w:p>
          <w:p>
            <w:pPr>
              <w:jc w:val="center"/>
            </w:pPr>
            <w:r>
              <w:rPr>
                <w:rFonts w:ascii="Arial" w:cs="Arial" w:eastAsia="Arial" w:hAnsi="Arial"/>
                <w:i/>
                <w:iCs/>
                <w:color w:val="6B7280"/>
                <w:sz w:val="16"/>
                <w:szCs w:val="16"/>
              </w:rPr>
              <w:t xml:space="preserve">MarketsandMarkets</w:t>
            </w:r>
          </w:p>
        </w:tc>
        <w:tc>
          <w:tcPr>
            <w:tcW w:type="dxa" w:w="2340"/>
            <w:tcBorders>
              <w:top w:val="single" w:color="E5E7EB" w:sz="1"/>
              <w:left w:val="single" w:color="E5E7EB" w:sz="1"/>
              <w:bottom w:val="single" w:color="E5E7EB" w:sz="1"/>
              <w:right w:val="single" w:color="E5E7EB" w:sz="1"/>
            </w:tcBorders>
            <w:shd w:fill="F3F4F6" w:val="clear"/>
            <w:tcMar>
              <w:top w:type="dxa" w:w="120"/>
              <w:left w:type="dxa" w:w="160"/>
              <w:bottom w:type="dxa" w:w="120"/>
              <w:right w:type="dxa" w:w="160"/>
            </w:tcMar>
          </w:tcPr>
          <w:p>
            <w:pPr>
              <w:jc w:val="center"/>
            </w:pPr>
            <w:r>
              <w:rPr>
                <w:rFonts w:ascii="Arial" w:cs="Arial" w:eastAsia="Arial" w:hAnsi="Arial"/>
                <w:b/>
                <w:bCs/>
                <w:color w:val="A855F7"/>
                <w:sz w:val="36"/>
                <w:szCs w:val="36"/>
              </w:rPr>
              <w:t xml:space="preserve">$15.01B</w:t>
            </w:r>
          </w:p>
          <w:p>
            <w:pPr>
              <w:jc w:val="center"/>
            </w:pPr>
            <w:r>
              <w:rPr>
                <w:rFonts w:ascii="Arial" w:cs="Arial" w:eastAsia="Arial" w:hAnsi="Arial"/>
                <w:color w:val="6B7280"/>
                <w:sz w:val="18"/>
                <w:szCs w:val="18"/>
              </w:rPr>
              <w:t xml:space="preserve">Market by 2030</w:t>
            </w:r>
          </w:p>
          <w:p>
            <w:pPr>
              <w:jc w:val="center"/>
            </w:pPr>
            <w:r>
              <w:rPr>
                <w:rFonts w:ascii="Arial" w:cs="Arial" w:eastAsia="Arial" w:hAnsi="Arial"/>
                <w:i/>
                <w:iCs/>
                <w:color w:val="6B7280"/>
                <w:sz w:val="16"/>
                <w:szCs w:val="16"/>
              </w:rPr>
              <w:t xml:space="preserve">29.5% CAGR</w:t>
            </w:r>
          </w:p>
        </w:tc>
        <w:tc>
          <w:tcPr>
            <w:tcW w:type="dxa" w:w="2340"/>
            <w:tcBorders>
              <w:top w:val="single" w:color="E5E7EB" w:sz="1"/>
              <w:left w:val="single" w:color="E5E7EB" w:sz="1"/>
              <w:bottom w:val="single" w:color="E5E7EB" w:sz="1"/>
              <w:right w:val="single" w:color="E5E7EB" w:sz="1"/>
            </w:tcBorders>
            <w:shd w:fill="F3F4F6" w:val="clear"/>
            <w:tcMar>
              <w:top w:type="dxa" w:w="120"/>
              <w:left w:type="dxa" w:w="160"/>
              <w:bottom w:type="dxa" w:w="120"/>
              <w:right w:type="dxa" w:w="160"/>
            </w:tcMar>
          </w:tcPr>
          <w:p>
            <w:pPr>
              <w:jc w:val="center"/>
            </w:pPr>
            <w:r>
              <w:rPr>
                <w:rFonts w:ascii="Arial" w:cs="Arial" w:eastAsia="Arial" w:hAnsi="Arial"/>
                <w:b/>
                <w:bCs/>
                <w:color w:val="059669"/>
                <w:sz w:val="36"/>
                <w:szCs w:val="36"/>
              </w:rPr>
              <w:t xml:space="preserve">$58B</w:t>
            </w:r>
          </w:p>
          <w:p>
            <w:pPr>
              <w:jc w:val="center"/>
            </w:pPr>
            <w:r>
              <w:rPr>
                <w:rFonts w:ascii="Arial" w:cs="Arial" w:eastAsia="Arial" w:hAnsi="Arial"/>
                <w:color w:val="6B7280"/>
                <w:sz w:val="18"/>
                <w:szCs w:val="18"/>
              </w:rPr>
              <w:t xml:space="preserve">Broader AI Sales TAM</w:t>
            </w:r>
          </w:p>
          <w:p>
            <w:pPr>
              <w:jc w:val="center"/>
            </w:pPr>
            <w:r>
              <w:rPr>
                <w:rFonts w:ascii="Arial" w:cs="Arial" w:eastAsia="Arial" w:hAnsi="Arial"/>
                <w:i/>
                <w:iCs/>
                <w:color w:val="6B7280"/>
                <w:sz w:val="16"/>
                <w:szCs w:val="16"/>
              </w:rPr>
              <w:t xml:space="preserve">by 2025</w:t>
            </w:r>
          </w:p>
        </w:tc>
        <w:tc>
          <w:tcPr>
            <w:tcW w:type="dxa" w:w="2340"/>
            <w:tcBorders>
              <w:top w:val="single" w:color="E5E7EB" w:sz="1"/>
              <w:left w:val="single" w:color="E5E7EB" w:sz="1"/>
              <w:bottom w:val="single" w:color="E5E7EB" w:sz="1"/>
              <w:right w:val="single" w:color="E5E7EB" w:sz="1"/>
            </w:tcBorders>
            <w:shd w:fill="F3F4F6" w:val="clear"/>
            <w:tcMar>
              <w:top w:type="dxa" w:w="120"/>
              <w:left w:type="dxa" w:w="160"/>
              <w:bottom w:type="dxa" w:w="120"/>
              <w:right w:type="dxa" w:w="160"/>
            </w:tcMar>
          </w:tcPr>
          <w:p>
            <w:pPr>
              <w:jc w:val="center"/>
            </w:pPr>
            <w:r>
              <w:rPr>
                <w:rFonts w:ascii="Arial" w:cs="Arial" w:eastAsia="Arial" w:hAnsi="Arial"/>
                <w:b/>
                <w:bCs/>
                <w:color w:val="111827"/>
                <w:sz w:val="36"/>
                <w:szCs w:val="36"/>
              </w:rPr>
              <w:t xml:space="preserve">$3.1B</w:t>
            </w:r>
          </w:p>
          <w:p>
            <w:pPr>
              <w:jc w:val="center"/>
            </w:pPr>
            <w:r>
              <w:rPr>
                <w:rFonts w:ascii="Arial" w:cs="Arial" w:eastAsia="Arial" w:hAnsi="Arial"/>
                <w:color w:val="6B7280"/>
                <w:sz w:val="18"/>
                <w:szCs w:val="18"/>
              </w:rPr>
              <w:t xml:space="preserve">Clay Valuation</w:t>
            </w:r>
          </w:p>
          <w:p>
            <w:pPr>
              <w:jc w:val="center"/>
            </w:pPr>
            <w:r>
              <w:rPr>
                <w:rFonts w:ascii="Arial" w:cs="Arial" w:eastAsia="Arial" w:hAnsi="Arial"/>
                <w:i/>
                <w:iCs/>
                <w:color w:val="6B7280"/>
                <w:sz w:val="16"/>
                <w:szCs w:val="16"/>
              </w:rPr>
              <w:t xml:space="preserve">Aug 2025 Series C</w:t>
            </w:r>
          </w:p>
        </w:tc>
      </w:tr>
    </w:tbl>
    <w:p>
      <w:pPr>
        <w:spacing w:after="0" w:before="160"/>
      </w:pPr>
      <w:r>
        <w:t xml:space="preserve"/>
      </w:r>
    </w:p>
    <w:p>
      <w:pPr>
        <w:spacing w:after="80" w:before="80" w:line="276"/>
      </w:pPr>
      <w:r>
        <w:rPr>
          <w:rFonts w:ascii="Arial" w:cs="Arial" w:eastAsia="Arial" w:hAnsi="Arial"/>
          <w:b w:val="false"/>
          <w:bCs w:val="false"/>
          <w:color w:val="374151"/>
          <w:sz w:val="22"/>
          <w:szCs w:val="22"/>
        </w:rPr>
        <w:t xml:space="preserve">Flowfiy's differentiation is structural, not cosmetic. While Clay ($149–$800/mo) handles enrichment only and Artisan ($2,000–$5,000/mo) locks customers into expensive AI agent contracts, Flowfiy delivers the full 5-agent pipeline — ICP Analyzer → Lead Discovery → Company Analyzer → Qualification → Personalization — at $49–$249/mo, with near-100% gross margins via BYOK.</w:t>
      </w:r>
    </w:p>
    <w:p>
      <w:pPr>
        <w:spacing w:after="0" w:before="80"/>
      </w:pPr>
      <w:r>
        <w:t xml:space="preserve"/>
      </w:r>
    </w:p>
    <w:p>
      <w:pPr>
        <w:spacing w:after="80" w:before="80" w:line="276"/>
      </w:pPr>
      <w:r>
        <w:rPr>
          <w:rFonts w:ascii="Arial" w:cs="Arial" w:eastAsia="Arial" w:hAnsi="Arial"/>
          <w:b w:val="false"/>
          <w:bCs w:val="false"/>
          <w:color w:val="6B7280"/>
          <w:sz w:val="22"/>
          <w:szCs w:val="22"/>
        </w:rPr>
        <w:t xml:space="preserve">This report covers: market sizing (TAM/SAM/SOM), the competitive landscape, customer segments, demand drivers, pricing benchmarks, and go-to-market recommendations.</w:t>
      </w:r>
    </w:p>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2. Market Sizing</w:t>
      </w:r>
    </w:p>
    <w:p>
      <w:pPr>
        <w:pStyle w:val="Heading2"/>
        <w:spacing w:after="120" w:before="320"/>
      </w:pPr>
      <w:r>
        <w:rPr>
          <w:rFonts w:ascii="Arial" w:cs="Arial" w:eastAsia="Arial" w:hAnsi="Arial"/>
          <w:b/>
          <w:bCs/>
          <w:color w:val="7C3AED"/>
          <w:sz w:val="28"/>
          <w:szCs w:val="28"/>
        </w:rPr>
        <w:t xml:space="preserve">2.1 Total Addressable Market (TAM)</w:t>
      </w:r>
    </w:p>
    <w:p>
      <w:pPr>
        <w:spacing w:after="80" w:before="80" w:line="276"/>
      </w:pPr>
      <w:r>
        <w:rPr>
          <w:rFonts w:ascii="Arial" w:cs="Arial" w:eastAsia="Arial" w:hAnsi="Arial"/>
          <w:b w:val="false"/>
          <w:bCs w:val="false"/>
          <w:color w:val="374151"/>
          <w:sz w:val="22"/>
          <w:szCs w:val="22"/>
        </w:rPr>
        <w:t xml:space="preserve">We define Flowfiy's TAM across three nested markets: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860"/>
      </w:tblGrid>
      <w:tr>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Market Layer</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Size (2025)</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CAGR</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Source</w:t>
            </w:r>
          </w:p>
        </w:tc>
      </w:tr>
      <w:tr>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color w:val="111827"/>
                <w:sz w:val="20"/>
                <w:szCs w:val="20"/>
              </w:rPr>
              <w:t xml:space="preserve">TAM — AI for Sales &amp; Marketing</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color w:val="7C3AED"/>
                <w:sz w:val="20"/>
                <w:szCs w:val="20"/>
              </w:rPr>
              <w:t xml:space="preserve">$58.0B</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059669"/>
                <w:sz w:val="20"/>
                <w:szCs w:val="20"/>
              </w:rPr>
              <w:t xml:space="preserve">32.9%</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6B7280"/>
                <w:sz w:val="20"/>
                <w:szCs w:val="20"/>
              </w:rPr>
              <w:t xml:space="preserve">MarketsandMarkets</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111827"/>
                <w:sz w:val="20"/>
                <w:szCs w:val="20"/>
              </w:rPr>
              <w:t xml:space="preserve">SAM — AI SDR Platforms</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7C3AED"/>
                <w:sz w:val="20"/>
                <w:szCs w:val="20"/>
              </w:rPr>
              <w:t xml:space="preserve">$4.12B</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059669"/>
                <w:sz w:val="20"/>
                <w:szCs w:val="20"/>
              </w:rPr>
              <w:t xml:space="preserve">29.5%</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6B7280"/>
                <w:sz w:val="20"/>
                <w:szCs w:val="20"/>
              </w:rPr>
              <w:t xml:space="preserve">MarketsandMarkets</w:t>
            </w:r>
          </w:p>
        </w:tc>
      </w:tr>
      <w:tr>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color w:val="111827"/>
                <w:sz w:val="20"/>
                <w:szCs w:val="20"/>
              </w:rPr>
              <w:t xml:space="preserve">SOM — SMB/Mid-market Outbound Tools</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b/>
                <w:bCs/>
                <w:color w:val="7C3AED"/>
                <w:sz w:val="20"/>
                <w:szCs w:val="20"/>
              </w:rPr>
              <w:t xml:space="preserve">~$620M</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059669"/>
                <w:sz w:val="20"/>
                <w:szCs w:val="20"/>
              </w:rPr>
              <w:t xml:space="preserve">28%+</w:t>
            </w:r>
          </w:p>
        </w:tc>
        <w:tc>
          <w:tcPr>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6B7280"/>
                <w:sz w:val="20"/>
                <w:szCs w:val="20"/>
              </w:rPr>
              <w:t xml:space="preserve">Flowfiy estimate (15% of SAM)</w:t>
            </w:r>
          </w:p>
        </w:tc>
      </w:tr>
    </w:tbl>
    <w:p>
      <w:pPr>
        <w:spacing w:after="0" w:before="160"/>
      </w:pPr>
      <w:r>
        <w:t xml:space="preserve"/>
      </w:r>
    </w:p>
    <w:p>
      <w:pPr>
        <w:pStyle w:val="Heading2"/>
        <w:spacing w:after="120" w:before="320"/>
      </w:pPr>
      <w:r>
        <w:rPr>
          <w:rFonts w:ascii="Arial" w:cs="Arial" w:eastAsia="Arial" w:hAnsi="Arial"/>
          <w:b/>
          <w:bCs/>
          <w:color w:val="7C3AED"/>
          <w:sz w:val="28"/>
          <w:szCs w:val="28"/>
        </w:rPr>
        <w:t xml:space="preserve">2.2 Market Context &amp; Tailwinds</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Human SDR fully loaded cost: $75,000–$110,000/year. AI tools deliver equivalent pipeline output at $500–$5,000/year — a 10–100x cost reduction.</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Cold email with AI personalization drives 57% higher open rates and 82% more replies vs. generic templates (Salesforge, 2026).</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65% of B2B sales teams now use AI for scalable personalization — up from 28% in 2023. Adoption curve is accelerating.</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Average cold email reply rate: 3.1–3.4% across all senders. Elite AI-personalized campaigns achieve 15–35% — 7x the baseline.</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India B2B SaaS market: $7.05B (2025), projected to reach $50B by 2030. Growing domestic demand for cost-efficient outbound tools.</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color w:val="374151"/>
          <w:sz w:val="22"/>
          <w:szCs w:val="22"/>
        </w:rPr>
        <w:t xml:space="preserve">BYOK expected to become the default pricing model for AI tools by 2027 (GeekFlare, 2026) — Flowfiy is ahead of this shift.</w:t>
      </w:r>
    </w:p>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3. Competitive Landscape</w:t>
      </w:r>
    </w:p>
    <w:p>
      <w:pPr>
        <w:pStyle w:val="Heading2"/>
        <w:spacing w:after="120" w:before="320"/>
      </w:pPr>
      <w:r>
        <w:rPr>
          <w:rFonts w:ascii="Arial" w:cs="Arial" w:eastAsia="Arial" w:hAnsi="Arial"/>
          <w:b/>
          <w:bCs/>
          <w:color w:val="7C3AED"/>
          <w:sz w:val="28"/>
          <w:szCs w:val="28"/>
        </w:rPr>
        <w:t xml:space="preserve">3.1 Competitor Matrix</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700"/>
        <w:gridCol w:w="1500"/>
        <w:gridCol w:w="1680"/>
        <w:gridCol w:w="1480"/>
      </w:tblGrid>
      <w:tr>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Tool</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Price/mo</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What it does</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BYOK</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Key Gap</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Valuation</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Clay</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$149–$800</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Enrichment only — no email sending</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Can't send emails; needs Instantly/Lemlist add-on</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$3.1B (Series C)</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Apollo</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$49–$119/seat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Data + sequences; weak AI copy</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No AI personalization; per-seat pricing balloons</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$1.6B</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Instantly</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$37–$97</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Email sending only; no data/research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No lead finding or AI research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Bootstrapped</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Outreach</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$100+/seat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Enterprise sequences</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Needs ZoomInfo ($15K/yr) + Clay for data</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Enterprise only</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Artisan</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$2,000–$5,000</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Autonomous AI SDR agent</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Banned by LinkedIn (Dec 2025); no human control</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Series B</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11x.ai</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$3,300–$5,500</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Autonomous AI SDR agent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DC2626"/>
                <w:sz w:val="18"/>
                <w:szCs w:val="18"/>
              </w:rPr>
              <w:t xml:space="preserve">✗</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CEO departed 2025; $45K median contract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Series A</w:t>
            </w:r>
          </w:p>
        </w:tc>
      </w:tr>
      <w:tr>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Flowfiy</w:t>
            </w:r>
          </w:p>
        </w:tc>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$49–$249</w:t>
            </w:r>
          </w:p>
        </w:tc>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Full 5-agent pipeline + BYOK</w:t>
            </w:r>
          </w:p>
        </w:tc>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w:t>
            </w:r>
          </w:p>
        </w:tc>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w:t>
            </w:r>
          </w:p>
        </w:tc>
        <w:tc>
          <w:tcPr>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7C3AED"/>
                <w:sz w:val="18"/>
                <w:szCs w:val="18"/>
              </w:rPr>
              <w:t xml:space="preserve">Pre-seed</w:t>
            </w:r>
          </w:p>
        </w:tc>
      </w:tr>
    </w:tbl>
    <w:p>
      <w:pPr>
        <w:spacing w:after="0" w:before="160"/>
      </w:pPr>
      <w:r>
        <w:t xml:space="preserve"/>
      </w:r>
    </w:p>
    <w:p>
      <w:pPr>
        <w:pStyle w:val="Heading2"/>
        <w:spacing w:after="120" w:before="320"/>
      </w:pPr>
      <w:r>
        <w:rPr>
          <w:rFonts w:ascii="Arial" w:cs="Arial" w:eastAsia="Arial" w:hAnsi="Arial"/>
          <w:b/>
          <w:bCs/>
          <w:color w:val="7C3AED"/>
          <w:sz w:val="28"/>
          <w:szCs w:val="28"/>
        </w:rPr>
        <w:t xml:space="preserve">3.2 The Tool-Stacking Problem (Flowfiy's Core Opportunity)</w:t>
      </w:r>
    </w:p>
    <w:p>
      <w:pPr>
        <w:spacing w:after="80" w:before="80" w:line="276"/>
      </w:pPr>
      <w:r>
        <w:rPr>
          <w:rFonts w:ascii="Arial" w:cs="Arial" w:eastAsia="Arial" w:hAnsi="Arial"/>
          <w:b w:val="false"/>
          <w:bCs w:val="false"/>
          <w:color w:val="374151"/>
          <w:sz w:val="22"/>
          <w:szCs w:val="22"/>
        </w:rPr>
        <w:t xml:space="preserve">Current state: A modern outbound sales stack requires 4–5 disconnected tools: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Tool</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Cost/mo</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Flowfiy Replaces?</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Clay Growth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Enrichment + research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$495</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059669"/>
                <w:sz w:val="20"/>
                <w:szCs w:val="20"/>
              </w:rPr>
              <w:t xml:space="preserve">✓ Yes</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Apollo Pro</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Lead data</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$79/seat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059669"/>
                <w:sz w:val="20"/>
                <w:szCs w:val="20"/>
              </w:rPr>
              <w:t xml:space="preserve">✓ Yes</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Instantly Hypergrowth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Email sending</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$97</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059669"/>
                <w:sz w:val="20"/>
                <w:szCs w:val="20"/>
              </w:rPr>
              <w:t xml:space="preserve">✓ Yes</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ZoomInfo (optional)</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Data enrichment</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20"/>
                <w:szCs w:val="20"/>
              </w:rPr>
              <w:t xml:space="preserve">$1,250+</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059669"/>
                <w:sz w:val="20"/>
                <w:szCs w:val="20"/>
              </w:rPr>
              <w:t xml:space="preserve">Partially</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Human SDR (partial)</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Personalization writing</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20"/>
                <w:szCs w:val="20"/>
              </w:rPr>
              <w:t xml:space="preserve">$6,500+/mo</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059669"/>
                <w:sz w:val="20"/>
                <w:szCs w:val="20"/>
              </w:rPr>
              <w:t xml:space="preserve">✓ Yes</w:t>
            </w:r>
          </w:p>
        </w:tc>
      </w:tr>
    </w:tbl>
    <w:p>
      <w:pPr>
        <w:spacing w:after="0" w:before="12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059669" w:sz="12"/>
              <w:bottom w:val="none" w:color="FFFFFF" w:sz="0"/>
              <w:right w:val="none" w:color="FFFFFF" w:sz="0"/>
            </w:tcBorders>
            <w:shd w:fill="F0FDF4" w:val="clear"/>
            <w:tcMar>
              <w:top w:type="dxa" w:w="100"/>
              <w:left w:type="dxa" w:w="200"/>
              <w:bottom w:type="dxa" w:w="100"/>
              <w:right w:type="dxa" w:w="200"/>
            </w:tcMar>
          </w:tcPr>
          <w:p>
            <w:r>
              <w:rPr>
                <w:rFonts w:ascii="Arial" w:cs="Arial" w:eastAsia="Arial" w:hAnsi="Arial"/>
                <w:i/>
                <w:iCs/>
                <w:color w:val="111827"/>
                <w:sz w:val="22"/>
                <w:szCs w:val="22"/>
              </w:rPr>
              <w:t xml:space="preserve">Without Flowfiy: $671–$8,421/month for a fragmented stack. With Flowfiy: $49–$249/month, fully integrated. That's a 13x–34x cost reduction.</w:t>
            </w:r>
          </w:p>
        </w:tc>
      </w:tr>
    </w:tbl>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4. Ideal Customer Profile (ICP) Analysis</w:t>
      </w:r>
    </w:p>
    <w:p>
      <w:pPr>
        <w:pStyle w:val="Heading2"/>
        <w:spacing w:after="120" w:before="320"/>
      </w:pPr>
      <w:r>
        <w:rPr>
          <w:rFonts w:ascii="Arial" w:cs="Arial" w:eastAsia="Arial" w:hAnsi="Arial"/>
          <w:b/>
          <w:bCs/>
          <w:color w:val="7C3AED"/>
          <w:sz w:val="28"/>
          <w:szCs w:val="28"/>
        </w:rPr>
        <w:t xml:space="preserve">4.1 Primary Segments</w:t>
      </w:r>
    </w:p>
    <w:p>
      <w:pPr>
        <w:spacing w:after="0" w:before="80"/>
      </w:pPr>
      <w:r>
        <w:t xml:space="preserve"/>
      </w:r>
    </w:p>
    <w:p>
      <w:pPr>
        <w:pStyle w:val="Heading3"/>
        <w:spacing w:after="80" w:before="240"/>
      </w:pPr>
      <w:r>
        <w:rPr>
          <w:rFonts w:ascii="Arial" w:cs="Arial" w:eastAsia="Arial" w:hAnsi="Arial"/>
          <w:b/>
          <w:bCs/>
          <w:color w:val="111827"/>
          <w:sz w:val="24"/>
          <w:szCs w:val="24"/>
        </w:rPr>
        <w:t xml:space="preserve">Segment 1: Solo Operators &amp; Freelancers</w:t>
      </w:r>
    </w:p>
    <w:p>
      <w:pPr>
        <w:spacing w:after="80" w:before="80" w:line="276"/>
      </w:pPr>
      <w:r>
        <w:rPr>
          <w:rFonts w:ascii="Arial" w:cs="Arial" w:eastAsia="Arial" w:hAnsi="Arial"/>
          <w:b w:val="false"/>
          <w:bCs w:val="false"/>
          <w:color w:val="374151"/>
          <w:sz w:val="22"/>
          <w:szCs w:val="22"/>
        </w:rPr>
        <w:t xml:space="preserve">Consultants, freelance marketers, independent sales reps who generate their own leads. Currently spend $150–$300/mo on Clay + Apollo. Flowfiy collapses this to $49.</w:t>
      </w:r>
    </w:p>
    <w:p>
      <w:pPr>
        <w:spacing w:after="60" w:before="60"/>
      </w:pPr>
      <w:r>
        <w:rPr>
          <w:rFonts w:ascii="Arial" w:cs="Arial" w:eastAsia="Arial" w:hAnsi="Arial"/>
          <w:b/>
          <w:bCs/>
          <w:color w:val="DC2626"/>
          <w:sz w:val="20"/>
          <w:szCs w:val="20"/>
        </w:rPr>
        <w:t xml:space="preserve">Pain point: </w:t>
      </w:r>
      <w:r>
        <w:rPr>
          <w:rFonts w:ascii="Arial" w:cs="Arial" w:eastAsia="Arial" w:hAnsi="Arial"/>
          <w:color w:val="374151"/>
          <w:sz w:val="20"/>
          <w:szCs w:val="20"/>
        </w:rPr>
        <w:t xml:space="preserve">Tool sprawl, high cost, no AI copy generation</w:t>
      </w:r>
    </w:p>
    <w:p>
      <w:pPr>
        <w:spacing w:after="120" w:before="60"/>
      </w:pPr>
      <w:r>
        <w:rPr>
          <w:rFonts w:ascii="Arial" w:cs="Arial" w:eastAsia="Arial" w:hAnsi="Arial"/>
          <w:b/>
          <w:bCs/>
          <w:color w:val="059669"/>
          <w:sz w:val="20"/>
          <w:szCs w:val="20"/>
        </w:rPr>
        <w:t xml:space="preserve">Best plan: </w:t>
      </w:r>
      <w:r>
        <w:rPr>
          <w:rFonts w:ascii="Arial" w:cs="Arial" w:eastAsia="Arial" w:hAnsi="Arial"/>
          <w:color w:val="374151"/>
          <w:sz w:val="20"/>
          <w:szCs w:val="20"/>
        </w:rPr>
        <w:t xml:space="preserve">Starter ($49)</w:t>
      </w:r>
    </w:p>
    <w:p>
      <w:pPr>
        <w:pStyle w:val="Heading3"/>
        <w:spacing w:after="80" w:before="240"/>
      </w:pPr>
      <w:r>
        <w:rPr>
          <w:rFonts w:ascii="Arial" w:cs="Arial" w:eastAsia="Arial" w:hAnsi="Arial"/>
          <w:b/>
          <w:bCs/>
          <w:color w:val="111827"/>
          <w:sz w:val="24"/>
          <w:szCs w:val="24"/>
        </w:rPr>
        <w:t xml:space="preserve">Segment 2: Early-Stage Startups (1–50 employees)</w:t>
      </w:r>
    </w:p>
    <w:p>
      <w:pPr>
        <w:spacing w:after="80" w:before="80" w:line="276"/>
      </w:pPr>
      <w:r>
        <w:rPr>
          <w:rFonts w:ascii="Arial" w:cs="Arial" w:eastAsia="Arial" w:hAnsi="Arial"/>
          <w:b w:val="false"/>
          <w:bCs w:val="false"/>
          <w:color w:val="374151"/>
          <w:sz w:val="22"/>
          <w:szCs w:val="22"/>
        </w:rPr>
        <w:t xml:space="preserve">Pre-PMF to early-growth startups building outbound without a dedicated SDR. Can't afford human SDRs at $75K+/year. Need pipeline fast.</w:t>
      </w:r>
    </w:p>
    <w:p>
      <w:pPr>
        <w:spacing w:after="60" w:before="60"/>
      </w:pPr>
      <w:r>
        <w:rPr>
          <w:rFonts w:ascii="Arial" w:cs="Arial" w:eastAsia="Arial" w:hAnsi="Arial"/>
          <w:b/>
          <w:bCs/>
          <w:color w:val="DC2626"/>
          <w:sz w:val="20"/>
          <w:szCs w:val="20"/>
        </w:rPr>
        <w:t xml:space="preserve">Pain point: </w:t>
      </w:r>
      <w:r>
        <w:rPr>
          <w:rFonts w:ascii="Arial" w:cs="Arial" w:eastAsia="Arial" w:hAnsi="Arial"/>
          <w:color w:val="374151"/>
          <w:sz w:val="20"/>
          <w:szCs w:val="20"/>
        </w:rPr>
        <w:t xml:space="preserve">No budget for SDR, no time to learn 5 tools</w:t>
      </w:r>
    </w:p>
    <w:p>
      <w:pPr>
        <w:spacing w:after="120" w:before="60"/>
      </w:pPr>
      <w:r>
        <w:rPr>
          <w:rFonts w:ascii="Arial" w:cs="Arial" w:eastAsia="Arial" w:hAnsi="Arial"/>
          <w:b/>
          <w:bCs/>
          <w:color w:val="059669"/>
          <w:sz w:val="20"/>
          <w:szCs w:val="20"/>
        </w:rPr>
        <w:t xml:space="preserve">Best plan: </w:t>
      </w:r>
      <w:r>
        <w:rPr>
          <w:rFonts w:ascii="Arial" w:cs="Arial" w:eastAsia="Arial" w:hAnsi="Arial"/>
          <w:color w:val="374151"/>
          <w:sz w:val="20"/>
          <w:szCs w:val="20"/>
        </w:rPr>
        <w:t xml:space="preserve">Growth ($99)</w:t>
      </w:r>
    </w:p>
    <w:p>
      <w:pPr>
        <w:pStyle w:val="Heading3"/>
        <w:spacing w:after="80" w:before="240"/>
      </w:pPr>
      <w:r>
        <w:rPr>
          <w:rFonts w:ascii="Arial" w:cs="Arial" w:eastAsia="Arial" w:hAnsi="Arial"/>
          <w:b/>
          <w:bCs/>
          <w:color w:val="111827"/>
          <w:sz w:val="24"/>
          <w:szCs w:val="24"/>
        </w:rPr>
        <w:t xml:space="preserve">Segment 3: Sales Agencies &amp; Growth Agencies</w:t>
      </w:r>
    </w:p>
    <w:p>
      <w:pPr>
        <w:spacing w:after="80" w:before="80" w:line="276"/>
      </w:pPr>
      <w:r>
        <w:rPr>
          <w:rFonts w:ascii="Arial" w:cs="Arial" w:eastAsia="Arial" w:hAnsi="Arial"/>
          <w:b w:val="false"/>
          <w:bCs w:val="false"/>
          <w:color w:val="374151"/>
          <w:sz w:val="22"/>
          <w:szCs w:val="22"/>
        </w:rPr>
        <w:t xml:space="preserve">Agencies running outbound for multiple clients. Currently pay per-seat across Clay, Apollo, Instantly for each client. Flowfiy's Agency plan at $249 for 20 seats disrupts their cost structure dramatically.</w:t>
      </w:r>
    </w:p>
    <w:p>
      <w:pPr>
        <w:spacing w:after="60" w:before="60"/>
      </w:pPr>
      <w:r>
        <w:rPr>
          <w:rFonts w:ascii="Arial" w:cs="Arial" w:eastAsia="Arial" w:hAnsi="Arial"/>
          <w:b/>
          <w:bCs/>
          <w:color w:val="DC2626"/>
          <w:sz w:val="20"/>
          <w:szCs w:val="20"/>
        </w:rPr>
        <w:t xml:space="preserve">Pain point: </w:t>
      </w:r>
      <w:r>
        <w:rPr>
          <w:rFonts w:ascii="Arial" w:cs="Arial" w:eastAsia="Arial" w:hAnsi="Arial"/>
          <w:color w:val="374151"/>
          <w:sz w:val="20"/>
          <w:szCs w:val="20"/>
        </w:rPr>
        <w:t xml:space="preserve">Per-seat costs multiply across clients, no white-label</w:t>
      </w:r>
    </w:p>
    <w:p>
      <w:pPr>
        <w:spacing w:after="120" w:before="60"/>
      </w:pPr>
      <w:r>
        <w:rPr>
          <w:rFonts w:ascii="Arial" w:cs="Arial" w:eastAsia="Arial" w:hAnsi="Arial"/>
          <w:b/>
          <w:bCs/>
          <w:color w:val="059669"/>
          <w:sz w:val="20"/>
          <w:szCs w:val="20"/>
        </w:rPr>
        <w:t xml:space="preserve">Best plan: </w:t>
      </w:r>
      <w:r>
        <w:rPr>
          <w:rFonts w:ascii="Arial" w:cs="Arial" w:eastAsia="Arial" w:hAnsi="Arial"/>
          <w:color w:val="374151"/>
          <w:sz w:val="20"/>
          <w:szCs w:val="20"/>
        </w:rPr>
        <w:t xml:space="preserve">Agency ($249)</w:t>
      </w:r>
    </w:p>
    <w:p>
      <w:pPr>
        <w:pStyle w:val="Heading3"/>
        <w:spacing w:after="80" w:before="240"/>
      </w:pPr>
      <w:r>
        <w:rPr>
          <w:rFonts w:ascii="Arial" w:cs="Arial" w:eastAsia="Arial" w:hAnsi="Arial"/>
          <w:b/>
          <w:bCs/>
          <w:color w:val="111827"/>
          <w:sz w:val="24"/>
          <w:szCs w:val="24"/>
        </w:rPr>
        <w:t xml:space="preserve">Segment 4: Mid-Market Sales Teams (50–500)</w:t>
      </w:r>
    </w:p>
    <w:p>
      <w:pPr>
        <w:spacing w:after="80" w:before="80" w:line="276"/>
      </w:pPr>
      <w:r>
        <w:rPr>
          <w:rFonts w:ascii="Arial" w:cs="Arial" w:eastAsia="Arial" w:hAnsi="Arial"/>
          <w:b w:val="false"/>
          <w:bCs w:val="false"/>
          <w:color w:val="374151"/>
          <w:sz w:val="22"/>
          <w:szCs w:val="22"/>
        </w:rPr>
        <w:t xml:space="preserve">Companies with 2–10 SDRs looking to multiply output without hiring. AI SDR tools like Artisan charge $2K–$5K/mo per seat. Flowfiy offers comparable quality at 10% of the cost.</w:t>
      </w:r>
    </w:p>
    <w:p>
      <w:pPr>
        <w:spacing w:after="60" w:before="60"/>
      </w:pPr>
      <w:r>
        <w:rPr>
          <w:rFonts w:ascii="Arial" w:cs="Arial" w:eastAsia="Arial" w:hAnsi="Arial"/>
          <w:b/>
          <w:bCs/>
          <w:color w:val="DC2626"/>
          <w:sz w:val="20"/>
          <w:szCs w:val="20"/>
        </w:rPr>
        <w:t xml:space="preserve">Pain point: </w:t>
      </w:r>
      <w:r>
        <w:rPr>
          <w:rFonts w:ascii="Arial" w:cs="Arial" w:eastAsia="Arial" w:hAnsi="Arial"/>
          <w:color w:val="374151"/>
          <w:sz w:val="20"/>
          <w:szCs w:val="20"/>
        </w:rPr>
        <w:t xml:space="preserve">Artisan/11x too expensive, existing stack too fragmented</w:t>
      </w:r>
    </w:p>
    <w:p>
      <w:pPr>
        <w:spacing w:after="120" w:before="60"/>
      </w:pPr>
      <w:r>
        <w:rPr>
          <w:rFonts w:ascii="Arial" w:cs="Arial" w:eastAsia="Arial" w:hAnsi="Arial"/>
          <w:b/>
          <w:bCs/>
          <w:color w:val="059669"/>
          <w:sz w:val="20"/>
          <w:szCs w:val="20"/>
        </w:rPr>
        <w:t xml:space="preserve">Best plan: </w:t>
      </w:r>
      <w:r>
        <w:rPr>
          <w:rFonts w:ascii="Arial" w:cs="Arial" w:eastAsia="Arial" w:hAnsi="Arial"/>
          <w:color w:val="374151"/>
          <w:sz w:val="20"/>
          <w:szCs w:val="20"/>
        </w:rPr>
        <w:t xml:space="preserve">Growth/Agency</w:t>
      </w:r>
    </w:p>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5. Demand Drivers &amp; Market Tailwinds</w:t>
      </w:r>
    </w:p>
    <w:p>
      <w:pPr>
        <w:pStyle w:val="Heading2"/>
        <w:spacing w:after="120" w:before="320"/>
      </w:pPr>
      <w:r>
        <w:rPr>
          <w:rFonts w:ascii="Arial" w:cs="Arial" w:eastAsia="Arial" w:hAnsi="Arial"/>
          <w:b/>
          <w:bCs/>
          <w:color w:val="7C3AED"/>
          <w:sz w:val="28"/>
          <w:szCs w:val="28"/>
        </w:rPr>
        <w:t xml:space="preserve">5.1 Structural Drivers</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A human SDR costs $75K–$110K/year fully loaded. Only 10–15% of companies can afford a dedicated SDR team. AI tools unlock outbound for the 85% who can't.</w:t>
      </w:r>
      <w:r>
        <w:rPr>
          <w:rFonts w:ascii="Arial" w:cs="Arial" w:eastAsia="Arial" w:hAnsi="Arial"/>
          <w:color w:val="374151"/>
          <w:sz w:val="22"/>
          <w:szCs w:val="22"/>
        </w:rPr>
        <w:t xml:space="preserve">SDR cost crisis: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65% of B2B sales teams use AI for personalization in 2026, up from 28% in 2023. The tipping point has passed.</w:t>
      </w:r>
      <w:r>
        <w:rPr>
          <w:rFonts w:ascii="Arial" w:cs="Arial" w:eastAsia="Arial" w:hAnsi="Arial"/>
          <w:color w:val="374151"/>
          <w:sz w:val="22"/>
          <w:szCs w:val="22"/>
        </w:rPr>
        <w:t xml:space="preserve">AI adoption acceleration: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Average cold email response rate dropped from 8.5% (2019) to 3.1% (2026). Volume alone no longer works — quality and hyper-personalization are the only differentiators. This is exactly what Flowfiy's 5-agent pipeline delivers.</w:t>
      </w:r>
      <w:r>
        <w:rPr>
          <w:rFonts w:ascii="Arial" w:cs="Arial" w:eastAsia="Arial" w:hAnsi="Arial"/>
          <w:color w:val="374151"/>
          <w:sz w:val="22"/>
          <w:szCs w:val="22"/>
        </w:rPr>
        <w:t xml:space="preserve">Outreach volume inflation: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JetBrains, Warp, and 50+ platforms added BYOK in 2025. GeekFlare projects BYOK becomes the default expectation for AI tools by 2027. Flowfiy is ahead of this wave.</w:t>
      </w:r>
      <w:r>
        <w:rPr>
          <w:rFonts w:ascii="Arial" w:cs="Arial" w:eastAsia="Arial" w:hAnsi="Arial"/>
          <w:color w:val="374151"/>
          <w:sz w:val="22"/>
          <w:szCs w:val="22"/>
        </w:rPr>
        <w:t xml:space="preserve">BYOK as default: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Clay ($3.1B) validated the enrichment market but left email sending unsolved. Users are frustrated stitching Clay + Instantly + Apollo together. The market is ready for a fully integrated solution.</w:t>
      </w:r>
      <w:r>
        <w:rPr>
          <w:rFonts w:ascii="Arial" w:cs="Arial" w:eastAsia="Arial" w:hAnsi="Arial"/>
          <w:color w:val="374151"/>
          <w:sz w:val="22"/>
          <w:szCs w:val="22"/>
        </w:rPr>
        <w:t xml:space="preserve">Full-stack demand: </w:t>
      </w:r>
    </w:p>
    <w:p>
      <w:pPr>
        <w:spacing w:after="0" w:before="80"/>
      </w:pPr>
      <w:r>
        <w:t xml:space="preserve"/>
      </w:r>
    </w:p>
    <w:p>
      <w:pPr>
        <w:pStyle w:val="Heading2"/>
        <w:spacing w:after="120" w:before="320"/>
      </w:pPr>
      <w:r>
        <w:rPr>
          <w:rFonts w:ascii="Arial" w:cs="Arial" w:eastAsia="Arial" w:hAnsi="Arial"/>
          <w:b/>
          <w:bCs/>
          <w:color w:val="7C3AED"/>
          <w:sz w:val="28"/>
          <w:szCs w:val="28"/>
        </w:rPr>
        <w:t xml:space="preserve">5.2 The Artisan/11x Backlash = Flowfiy's Opening</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BEB" w:val="clear"/>
            <w:tcMar>
              <w:top w:type="dxa" w:w="100"/>
              <w:left w:type="dxa" w:w="200"/>
              <w:bottom w:type="dxa" w:w="100"/>
              <w:right w:type="dxa" w:w="200"/>
            </w:tcMar>
          </w:tcPr>
          <w:p>
            <w:r>
              <w:rPr>
                <w:rFonts w:ascii="Arial" w:cs="Arial" w:eastAsia="Arial" w:hAnsi="Arial"/>
                <w:i/>
                <w:iCs/>
                <w:color w:val="111827"/>
                <w:sz w:val="22"/>
                <w:szCs w:val="22"/>
              </w:rPr>
              <w:t xml:space="preserve">Enterprise AI SDRs (Artisan, 11x) positioned as "autonomous replacements" have failed. LinkedIn banned Artisan in Dec 2025. 11x's CEO departed in 2025. Companies that deployed fully autonomous AI SDRs have "largely reverted to hybrid models." The market wants AI-assisted pipelines, not autonomous agents. Flowfiy's human-in-the-loop approach is the right answer to this failure.</w:t>
            </w:r>
          </w:p>
        </w:tc>
      </w:tr>
    </w:tbl>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6. Pricing Analysis &amp; Recommendations</w:t>
      </w:r>
    </w:p>
    <w:p>
      <w:pPr>
        <w:pStyle w:val="Heading2"/>
        <w:spacing w:after="120" w:before="320"/>
      </w:pPr>
      <w:r>
        <w:rPr>
          <w:rFonts w:ascii="Arial" w:cs="Arial" w:eastAsia="Arial" w:hAnsi="Arial"/>
          <w:b/>
          <w:bCs/>
          <w:color w:val="7C3AED"/>
          <w:sz w:val="28"/>
          <w:szCs w:val="28"/>
        </w:rPr>
        <w:t xml:space="preserve">6.1 Current Pricing vs. Market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60"/>
        <w:gridCol w:w="1560"/>
        <w:gridCol w:w="1560"/>
        <w:gridCol w:w="1560"/>
        <w:gridCol w:w="1520"/>
      </w:tblGrid>
      <w:tr>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Tier</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Price</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Gens/mo</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Cost/gen</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Market Benchmark</w:t>
            </w:r>
          </w:p>
        </w:tc>
        <w:tc>
          <w:tcPr>
            <w:tcBorders>
              <w:top w:val="single" w:color="E5E7EB" w:sz="1"/>
              <w:left w:val="single" w:color="E5E7EB" w:sz="1"/>
              <w:bottom w:val="single" w:color="E5E7EB" w:sz="1"/>
              <w:right w:val="single" w:color="E5E7EB" w:sz="1"/>
            </w:tcBorders>
            <w:shd w:fill="7C3AED" w:val="clear"/>
            <w:tcMar>
              <w:top w:type="dxa" w:w="100"/>
              <w:left w:type="dxa" w:w="120"/>
              <w:bottom w:type="dxa" w:w="100"/>
              <w:right w:type="dxa" w:w="120"/>
            </w:tcMar>
          </w:tcPr>
          <w:p>
            <w:r>
              <w:rPr>
                <w:rFonts w:ascii="Arial" w:cs="Arial" w:eastAsia="Arial" w:hAnsi="Arial"/>
                <w:b/>
                <w:bCs/>
                <w:color w:val="FFFFFF"/>
                <w:sz w:val="20"/>
                <w:szCs w:val="20"/>
              </w:rPr>
              <w:t xml:space="preserve">Verdict</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111827"/>
                <w:sz w:val="18"/>
                <w:szCs w:val="18"/>
              </w:rPr>
              <w:t xml:space="preserve">Free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$0</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50 lifetime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Apollo: 10K emails free; Clay: 100 credits free</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D97706"/>
                <w:sz w:val="18"/>
                <w:szCs w:val="18"/>
              </w:rPr>
              <w:t xml:space="preserve">⚠ Too restrictive</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Starter</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$49/mo</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500</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$0.098</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Apollo Basic: $49 (data only); Clay Starter: $149</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059669"/>
                <w:sz w:val="18"/>
                <w:szCs w:val="18"/>
              </w:rPr>
              <w:t xml:space="preserve">✓ Well positioned</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bCs/>
                <w:color w:val="111827"/>
                <w:sz w:val="18"/>
                <w:szCs w:val="18"/>
              </w:rPr>
              <w:t xml:space="preserve">Growth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$99/mo</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2,000</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$0.050</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111827"/>
                <w:sz w:val="18"/>
                <w:szCs w:val="18"/>
              </w:rPr>
              <w:t xml:space="preserve">Clay Starter: $149; Apollo Pro: $79/seat</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b w:val="false"/>
                <w:bCs w:val="false"/>
                <w:color w:val="059669"/>
                <w:sz w:val="18"/>
                <w:szCs w:val="18"/>
              </w:rPr>
              <w:t xml:space="preserve">✓ Strong value</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111827"/>
                <w:sz w:val="18"/>
                <w:szCs w:val="18"/>
              </w:rPr>
              <w:t xml:space="preserve">Agency</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$249/mo</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Unlimited</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~$0.01</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111827"/>
                <w:sz w:val="18"/>
                <w:szCs w:val="18"/>
              </w:rPr>
              <w:t xml:space="preserve">Clay Explorer: $349; Artisan: $2,000+</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D97706"/>
                <w:sz w:val="18"/>
                <w:szCs w:val="18"/>
              </w:rPr>
              <w:t xml:space="preserve">⚠ Underpriced</w:t>
            </w:r>
          </w:p>
        </w:tc>
      </w:tr>
    </w:tbl>
    <w:p>
      <w:pPr>
        <w:spacing w:after="0" w:before="160"/>
      </w:pPr>
      <w:r>
        <w:t xml:space="preserve"/>
      </w:r>
    </w:p>
    <w:p>
      <w:pPr>
        <w:pStyle w:val="Heading2"/>
        <w:spacing w:after="120" w:before="320"/>
      </w:pPr>
      <w:r>
        <w:rPr>
          <w:rFonts w:ascii="Arial" w:cs="Arial" w:eastAsia="Arial" w:hAnsi="Arial"/>
          <w:b/>
          <w:bCs/>
          <w:color w:val="7C3AED"/>
          <w:sz w:val="28"/>
          <w:szCs w:val="28"/>
        </w:rPr>
        <w:t xml:space="preserve">6.2 Pricing Recommendations</w:t>
      </w:r>
    </w:p>
    <w:p>
      <w:pPr>
        <w:pStyle w:val="Heading3"/>
        <w:spacing w:after="80" w:before="240"/>
      </w:pPr>
      <w:r>
        <w:rPr>
          <w:rFonts w:ascii="Arial" w:cs="Arial" w:eastAsia="Arial" w:hAnsi="Arial"/>
          <w:b/>
          <w:bCs/>
          <w:color w:val="111827"/>
          <w:sz w:val="24"/>
          <w:szCs w:val="24"/>
        </w:rPr>
        <w:t xml:space="preserve">🔴 Issue 1: Free Tier is Too Restrictive</w:t>
      </w:r>
    </w:p>
    <w:p>
      <w:pPr>
        <w:spacing w:after="80" w:before="80" w:line="276"/>
      </w:pPr>
      <w:r>
        <w:rPr>
          <w:rFonts w:ascii="Arial" w:cs="Arial" w:eastAsia="Arial" w:hAnsi="Arial"/>
          <w:b w:val="false"/>
          <w:bCs w:val="false"/>
          <w:color w:val="374151"/>
          <w:sz w:val="22"/>
          <w:szCs w:val="22"/>
        </w:rPr>
        <w:t xml:space="preserve">50 lifetime generations is not enough to let users experience value. A user who generates 10 leads/day exhaust their free tier in 5 days. Clay offers 100 credits/month (recurring), Apollo offers 10,000 emails/month free.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C2626" w:sz="12"/>
              <w:bottom w:val="none" w:color="FFFFFF" w:sz="0"/>
              <w:right w:val="none" w:color="FFFFFF" w:sz="0"/>
            </w:tcBorders>
            <w:shd w:fill="FEF2F2" w:val="clear"/>
            <w:tcMar>
              <w:top w:type="dxa" w:w="100"/>
              <w:left w:type="dxa" w:w="200"/>
              <w:bottom w:type="dxa" w:w="100"/>
              <w:right w:type="dxa" w:w="200"/>
            </w:tcMar>
          </w:tcPr>
          <w:p>
            <w:r>
              <w:rPr>
                <w:rFonts w:ascii="Arial" w:cs="Arial" w:eastAsia="Arial" w:hAnsi="Arial"/>
                <w:i/>
                <w:iCs/>
                <w:color w:val="111827"/>
                <w:sz w:val="22"/>
                <w:szCs w:val="22"/>
              </w:rPr>
              <w:t xml:space="preserve">Recommendation: Change Free to 100 generations/month (recurring). This aligns with what your own FAQ already states ("100 generations/month at no cost") and gives users enough runway to reach an "aha moment" before converting.</w:t>
            </w:r>
          </w:p>
        </w:tc>
      </w:tr>
    </w:tbl>
    <w:p>
      <w:pPr>
        <w:spacing w:after="0" w:before="120"/>
      </w:pPr>
      <w:r>
        <w:t xml:space="preserve"/>
      </w:r>
    </w:p>
    <w:p>
      <w:pPr>
        <w:pStyle w:val="Heading3"/>
        <w:spacing w:after="80" w:before="240"/>
      </w:pPr>
      <w:r>
        <w:rPr>
          <w:rFonts w:ascii="Arial" w:cs="Arial" w:eastAsia="Arial" w:hAnsi="Arial"/>
          <w:b/>
          <w:bCs/>
          <w:color w:val="111827"/>
          <w:sz w:val="24"/>
          <w:szCs w:val="24"/>
        </w:rPr>
        <w:t xml:space="preserve">🟡 Issue 2: Agency Plan is Underpriced</w:t>
      </w:r>
    </w:p>
    <w:p>
      <w:pPr>
        <w:spacing w:after="80" w:before="80" w:line="276"/>
      </w:pPr>
      <w:r>
        <w:rPr>
          <w:rFonts w:ascii="Arial" w:cs="Arial" w:eastAsia="Arial" w:hAnsi="Arial"/>
          <w:b w:val="false"/>
          <w:bCs w:val="false"/>
          <w:color w:val="374151"/>
          <w:sz w:val="22"/>
          <w:szCs w:val="22"/>
        </w:rPr>
        <w:t xml:space="preserve">At $249/month for unlimited generations and 20 seats, you are leaving significant money on the table. Clay alone costs $349–$800/month and doesn't include email sending. An agency replacing their Clay + Instantly + Apollo stack saves $343–$600/month by switching to Flowfiy Agency.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D97706" w:sz="12"/>
              <w:bottom w:val="none" w:color="FFFFFF" w:sz="0"/>
              <w:right w:val="none" w:color="FFFFFF" w:sz="0"/>
            </w:tcBorders>
            <w:shd w:fill="FFFBEB" w:val="clear"/>
            <w:tcMar>
              <w:top w:type="dxa" w:w="100"/>
              <w:left w:type="dxa" w:w="200"/>
              <w:bottom w:type="dxa" w:w="100"/>
              <w:right w:type="dxa" w:w="200"/>
            </w:tcMar>
          </w:tcPr>
          <w:p>
            <w:r>
              <w:rPr>
                <w:rFonts w:ascii="Arial" w:cs="Arial" w:eastAsia="Arial" w:hAnsi="Arial"/>
                <w:i/>
                <w:iCs/>
                <w:color w:val="111827"/>
                <w:sz w:val="22"/>
                <w:szCs w:val="22"/>
              </w:rPr>
              <w:t xml:space="preserve">Recommendation: Increase Agency to $299–$349/month. At this price, customers still save $200–$400/month vs. their existing stack. Your gross margin stays ~95% due to BYOK. This adds $600–$1,200 ARR per agency customer at no extra cost.</w:t>
            </w:r>
          </w:p>
        </w:tc>
      </w:tr>
    </w:tbl>
    <w:p>
      <w:pPr>
        <w:spacing w:after="0" w:before="120"/>
      </w:pPr>
      <w:r>
        <w:t xml:space="preserve"/>
      </w:r>
    </w:p>
    <w:p>
      <w:pPr>
        <w:pStyle w:val="Heading3"/>
        <w:spacing w:after="80" w:before="240"/>
      </w:pPr>
      <w:r>
        <w:rPr>
          <w:rFonts w:ascii="Arial" w:cs="Arial" w:eastAsia="Arial" w:hAnsi="Arial"/>
          <w:b/>
          <w:bCs/>
          <w:color w:val="111827"/>
          <w:sz w:val="24"/>
          <w:szCs w:val="24"/>
        </w:rPr>
        <w:t xml:space="preserve">✅ Issue 3: Starter &amp; Growth Are Well Positioned</w:t>
      </w:r>
    </w:p>
    <w:p>
      <w:pPr>
        <w:spacing w:after="80" w:before="80" w:line="276"/>
      </w:pPr>
      <w:r>
        <w:rPr>
          <w:rFonts w:ascii="Arial" w:cs="Arial" w:eastAsia="Arial" w:hAnsi="Arial"/>
          <w:b w:val="false"/>
          <w:bCs w:val="false"/>
          <w:color w:val="374151"/>
          <w:sz w:val="22"/>
          <w:szCs w:val="22"/>
        </w:rPr>
        <w:t xml:space="preserve">Starter at $49 directly competes with Apollo Basic ($49) while offering significantly more value — full AI pipeline vs. just data access. Growth at $99 undercuts Clay Starter ($149) while adding email personalization Clay can't do. These prices are correct.</w:t>
      </w:r>
    </w:p>
    <w:p>
      <w:pPr>
        <w:spacing w:after="0" w:before="120"/>
      </w:pPr>
      <w:r>
        <w:t xml:space="preserve"/>
      </w:r>
    </w:p>
    <w:p>
      <w:pPr>
        <w:pStyle w:val="Heading3"/>
        <w:spacing w:after="80" w:before="240"/>
      </w:pPr>
      <w:r>
        <w:rPr>
          <w:rFonts w:ascii="Arial" w:cs="Arial" w:eastAsia="Arial" w:hAnsi="Arial"/>
          <w:b/>
          <w:bCs/>
          <w:color w:val="111827"/>
          <w:sz w:val="24"/>
          <w:szCs w:val="24"/>
        </w:rPr>
        <w:t xml:space="preserve">💡 Issue 4: Consider an Annual Plan Discount</w:t>
      </w:r>
    </w:p>
    <w:p>
      <w:pPr>
        <w:spacing w:after="80" w:before="80" w:line="276"/>
      </w:pPr>
      <w:r>
        <w:rPr>
          <w:rFonts w:ascii="Arial" w:cs="Arial" w:eastAsia="Arial" w:hAnsi="Arial"/>
          <w:b w:val="false"/>
          <w:bCs w:val="false"/>
          <w:color w:val="374151"/>
          <w:sz w:val="22"/>
          <w:szCs w:val="22"/>
        </w:rPr>
        <w:t xml:space="preserve">Offering 20% off for annual billing (Starter: $470/yr vs $588, Growth: $950/yr vs $1,188, Agency: $2,870/yr vs $3,588) improves cash flow predictability and reduces monthly churn. Standard SaaS practice.</w:t>
      </w:r>
    </w:p>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7. Risk Assessment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000"/>
        <w:gridCol w:w="2160"/>
      </w:tblGrid>
      <w:tr>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Risk</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Description</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Severity</w:t>
            </w:r>
          </w:p>
        </w:tc>
        <w:tc>
          <w:tcPr>
            <w:tcBorders>
              <w:top w:val="single" w:color="E5E7EB" w:sz="1"/>
              <w:left w:val="single" w:color="E5E7EB" w:sz="1"/>
              <w:bottom w:val="single" w:color="E5E7EB" w:sz="1"/>
              <w:right w:val="single" w:color="E5E7EB" w:sz="1"/>
            </w:tcBorders>
            <w:shd w:fill="09090F" w:val="clear"/>
            <w:tcMar>
              <w:top w:type="dxa" w:w="100"/>
              <w:left w:type="dxa" w:w="120"/>
              <w:bottom w:type="dxa" w:w="100"/>
              <w:right w:type="dxa" w:w="120"/>
            </w:tcMar>
          </w:tcPr>
          <w:p>
            <w:r>
              <w:rPr>
                <w:rFonts w:ascii="Arial" w:cs="Arial" w:eastAsia="Arial" w:hAnsi="Arial"/>
                <w:b/>
                <w:bCs/>
                <w:color w:val="FFFFFF"/>
                <w:sz w:val="18"/>
                <w:szCs w:val="18"/>
              </w:rPr>
              <w:t xml:space="preserve">Mitigation</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Clay adds email sending</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If Clay integrates Instantly-like functionality, their enrichment moat becomes full-stack</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DC2626"/>
                <w:sz w:val="18"/>
                <w:szCs w:val="18"/>
              </w:rPr>
              <w:t xml:space="preserve">High</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Focus on price (10x cheaper) and BYOK margin advantage</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Apollo adds AI copy</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Apollo already has AI email suggestions; deeper AI could threaten Starter tier</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D97706"/>
                <w:sz w:val="18"/>
                <w:szCs w:val="18"/>
              </w:rPr>
              <w:t xml:space="preserve">Medium</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Speed of iteration; pipeline depth (5 agents) is hard to replicate fast</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Anthropic API rate limits</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Heavy users may hit Anthropic rate limits, degrading pipeline speed</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D97706"/>
                <w:sz w:val="18"/>
                <w:szCs w:val="18"/>
              </w:rPr>
              <w:t xml:space="preserve">Medium</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Queue system (BullMQ already implemented); expose rate limit warnings in UI</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LinkedIn blocks scraping</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Artisan was banned Dec 2025. LinkedIn is increasingly hostile to automated activity</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D97706"/>
                <w:sz w:val="18"/>
                <w:szCs w:val="18"/>
              </w:rPr>
              <w:t xml:space="preserve">Medium</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Use Apollo for data (not LinkedIn scraping); avoid direct LinkedIn automation</w:t>
            </w:r>
          </w:p>
        </w:tc>
      </w:tr>
      <w:tr>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BYOK friction at onboarding</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Requiring users to get an Anthropic API key adds onboarding steps; some will drop off</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D97706"/>
                <w:sz w:val="18"/>
                <w:szCs w:val="18"/>
              </w:rPr>
              <w:t xml:space="preserve">Medium</w:t>
            </w:r>
          </w:p>
        </w:tc>
        <w:tc>
          <w:tcPr>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r>
              <w:rPr>
                <w:rFonts w:ascii="Arial" w:cs="Arial" w:eastAsia="Arial" w:hAnsi="Arial"/>
                <w:color w:val="111827"/>
                <w:sz w:val="18"/>
                <w:szCs w:val="18"/>
              </w:rPr>
              <w:t xml:space="preserve">Provide a setup wizard with direct Anthropic console link; offer a "try with Flowfiy key" trial</w:t>
            </w:r>
          </w:p>
        </w:tc>
      </w:tr>
      <w:tr>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Deliverability degradation</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Mass AI outreach is training spam filters; reply rates may decline industry-wide</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059669"/>
                <w:sz w:val="18"/>
                <w:szCs w:val="18"/>
              </w:rPr>
              <w:t xml:space="preserve">Low-Med</w:t>
            </w:r>
          </w:p>
        </w:tc>
        <w:tc>
          <w:tcPr>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color w:val="111827"/>
                <w:sz w:val="18"/>
                <w:szCs w:val="18"/>
              </w:rPr>
              <w:t xml:space="preserve">Differentiate on hyper-personalization quality over volume; educate users on best practices</w:t>
            </w:r>
          </w:p>
        </w:tc>
      </w:tr>
    </w:tbl>
    <w:p>
      <w:r>
        <w:br w:type="page"/>
      </w:r>
    </w:p>
    <w:p>
      <w:pPr>
        <w:pStyle w:val="Heading1"/>
        <w:pBdr>
          <w:bottom w:val="single" w:color="7C3AED" w:sz="4" w:space="6"/>
        </w:pBdr>
        <w:spacing w:after="160" w:before="400"/>
      </w:pPr>
      <w:r>
        <w:rPr>
          <w:rFonts w:ascii="Arial" w:cs="Arial" w:eastAsia="Arial" w:hAnsi="Arial"/>
          <w:b/>
          <w:bCs/>
          <w:color w:val="111827"/>
          <w:sz w:val="36"/>
          <w:szCs w:val="36"/>
        </w:rPr>
        <w:t xml:space="preserve">8. Strategic Recommendations</w:t>
      </w:r>
    </w:p>
    <w:p>
      <w:pPr>
        <w:pStyle w:val="Heading2"/>
        <w:spacing w:after="120" w:before="320"/>
      </w:pPr>
      <w:r>
        <w:rPr>
          <w:rFonts w:ascii="Arial" w:cs="Arial" w:eastAsia="Arial" w:hAnsi="Arial"/>
          <w:b/>
          <w:bCs/>
          <w:color w:val="7C3AED"/>
          <w:sz w:val="28"/>
          <w:szCs w:val="28"/>
        </w:rPr>
        <w:t xml:space="preserve">8.1 Immediate Actions (Pre-Launch)</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Change to 100 gen/month recurring — align with FAQ and give users true trial experience</w:t>
      </w:r>
      <w:r>
        <w:rPr>
          <w:rFonts w:ascii="Arial" w:cs="Arial" w:eastAsia="Arial" w:hAnsi="Arial"/>
          <w:color w:val="374151"/>
          <w:sz w:val="22"/>
          <w:szCs w:val="22"/>
        </w:rPr>
        <w:t xml:space="preserve">Fix Free tier: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$299–$349/month — still 10x cheaper than alternatives, better revenue per customer</w:t>
      </w:r>
      <w:r>
        <w:rPr>
          <w:rFonts w:ascii="Arial" w:cs="Arial" w:eastAsia="Arial" w:hAnsi="Arial"/>
          <w:color w:val="374151"/>
          <w:sz w:val="22"/>
          <w:szCs w:val="22"/>
        </w:rPr>
        <w:t xml:space="preserve">Reprice Agency: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20% discount for annual prepay — improves cash flow, reduces churn</w:t>
      </w:r>
      <w:r>
        <w:rPr>
          <w:rFonts w:ascii="Arial" w:cs="Arial" w:eastAsia="Arial" w:hAnsi="Arial"/>
          <w:color w:val="374151"/>
          <w:sz w:val="22"/>
          <w:szCs w:val="22"/>
        </w:rPr>
        <w:t xml:space="preserve">Add annual billing: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Direct link to console.anthropic.com, estimated monthly cost calculator, key validation with friendly error messages</w:t>
      </w:r>
      <w:r>
        <w:rPr>
          <w:rFonts w:ascii="Arial" w:cs="Arial" w:eastAsia="Arial" w:hAnsi="Arial"/>
          <w:color w:val="374151"/>
          <w:sz w:val="22"/>
          <w:szCs w:val="22"/>
        </w:rPr>
        <w:t xml:space="preserve">Build BYOK onboarding wizard: </w:t>
      </w:r>
    </w:p>
    <w:p>
      <w:pPr>
        <w:spacing w:after="0" w:before="80"/>
      </w:pPr>
      <w:r>
        <w:t xml:space="preserve"/>
      </w:r>
    </w:p>
    <w:p>
      <w:pPr>
        <w:pStyle w:val="Heading2"/>
        <w:spacing w:after="120" w:before="320"/>
      </w:pPr>
      <w:r>
        <w:rPr>
          <w:rFonts w:ascii="Arial" w:cs="Arial" w:eastAsia="Arial" w:hAnsi="Arial"/>
          <w:b/>
          <w:bCs/>
          <w:color w:val="7C3AED"/>
          <w:sz w:val="28"/>
          <w:szCs w:val="28"/>
        </w:rPr>
        <w:t xml:space="preserve">8.2 Go-to-Market Priority</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Solo operators and freelancers ($49 Starter) — lowest friction, fastest word-of-mouth</w:t>
      </w:r>
      <w:r>
        <w:rPr>
          <w:rFonts w:ascii="Arial" w:cs="Arial" w:eastAsia="Arial" w:hAnsi="Arial"/>
          <w:color w:val="374151"/>
          <w:sz w:val="22"/>
          <w:szCs w:val="22"/>
        </w:rPr>
        <w:t xml:space="preserve">Primary beachhead: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Sales agencies (Agency plan) — high LTV, champion distribution to their clients</w:t>
      </w:r>
      <w:r>
        <w:rPr>
          <w:rFonts w:ascii="Arial" w:cs="Arial" w:eastAsia="Arial" w:hAnsi="Arial"/>
          <w:color w:val="374151"/>
          <w:sz w:val="22"/>
          <w:szCs w:val="22"/>
        </w:rPr>
        <w:t xml:space="preserve">Secondary: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LinkedIn founder content + Product Hunt launch + cold outreach using Flowfiy itself (ultimate proof of product)</w:t>
      </w:r>
      <w:r>
        <w:rPr>
          <w:rFonts w:ascii="Arial" w:cs="Arial" w:eastAsia="Arial" w:hAnsi="Arial"/>
          <w:color w:val="374151"/>
          <w:sz w:val="22"/>
          <w:szCs w:val="22"/>
        </w:rPr>
        <w:t xml:space="preserve">Distribution channel: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India SaaS market $7B+ and growing; use it as traction base before expanding to US/UK markets where pricing can be higher</w:t>
      </w:r>
      <w:r>
        <w:rPr>
          <w:rFonts w:ascii="Arial" w:cs="Arial" w:eastAsia="Arial" w:hAnsi="Arial"/>
          <w:color w:val="374151"/>
          <w:sz w:val="22"/>
          <w:szCs w:val="22"/>
        </w:rPr>
        <w:t xml:space="preserve">India-first, global-ready: </w:t>
      </w:r>
    </w:p>
    <w:p>
      <w:pPr>
        <w:spacing w:after="0" w:before="80"/>
      </w:pPr>
      <w:r>
        <w:t xml:space="preserve"/>
      </w:r>
    </w:p>
    <w:p>
      <w:pPr>
        <w:pStyle w:val="Heading2"/>
        <w:spacing w:after="120" w:before="320"/>
      </w:pPr>
      <w:r>
        <w:rPr>
          <w:rFonts w:ascii="Arial" w:cs="Arial" w:eastAsia="Arial" w:hAnsi="Arial"/>
          <w:b/>
          <w:bCs/>
          <w:color w:val="7C3AED"/>
          <w:sz w:val="28"/>
          <w:szCs w:val="28"/>
        </w:rPr>
        <w:t xml:space="preserve">8.3 18-Month Vision</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50 paying customers via founder-led sales; use their feedback to nail the ICP</w:t>
      </w:r>
      <w:r>
        <w:rPr>
          <w:rFonts w:ascii="Arial" w:cs="Arial" w:eastAsia="Arial" w:hAnsi="Arial"/>
          <w:color w:val="374151"/>
          <w:sz w:val="22"/>
          <w:szCs w:val="22"/>
        </w:rPr>
        <w:t xml:space="preserve">Month 1–3: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Product Hunt launch; target 500 users; first enterprise agency deal</w:t>
      </w:r>
      <w:r>
        <w:rPr>
          <w:rFonts w:ascii="Arial" w:cs="Arial" w:eastAsia="Arial" w:hAnsi="Arial"/>
          <w:color w:val="374151"/>
          <w:sz w:val="22"/>
          <w:szCs w:val="22"/>
        </w:rPr>
        <w:t xml:space="preserve">Month 4–6: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$50K MRR target; raise seed round at $3–5M valuation using Clay's 15x revenue multiple as benchmark</w:t>
      </w:r>
      <w:r>
        <w:rPr>
          <w:rFonts w:ascii="Arial" w:cs="Arial" w:eastAsia="Arial" w:hAnsi="Arial"/>
          <w:color w:val="374151"/>
          <w:sz w:val="22"/>
          <w:szCs w:val="22"/>
        </w:rPr>
        <w:t xml:space="preserve">Month 7–12: </w:t>
      </w:r>
    </w:p>
    <w:p>
      <w:pPr>
        <w:spacing w:after="60" w:before="60"/>
        <w:ind w:left="360" w:hanging="240"/>
      </w:pPr>
      <w:r>
        <w:rPr>
          <w:rFonts w:ascii="Arial" w:cs="Arial" w:eastAsia="Arial" w:hAnsi="Arial"/>
          <w:b/>
          <w:bCs/>
          <w:color w:val="7C3AED"/>
          <w:sz w:val="22"/>
          <w:szCs w:val="22"/>
        </w:rPr>
        <w:t xml:space="preserve">• </w:t>
      </w:r>
      <w:r>
        <w:rPr>
          <w:rFonts w:ascii="Arial" w:cs="Arial" w:eastAsia="Arial" w:hAnsi="Arial"/>
          <w:b/>
          <w:bCs/>
          <w:color w:val="111827"/>
          <w:sz w:val="22"/>
          <w:szCs w:val="22"/>
        </w:rPr>
        <w:t xml:space="preserve">US market expansion; team hire; $200K MRR target</w:t>
      </w:r>
      <w:r>
        <w:rPr>
          <w:rFonts w:ascii="Arial" w:cs="Arial" w:eastAsia="Arial" w:hAnsi="Arial"/>
          <w:color w:val="374151"/>
          <w:sz w:val="22"/>
          <w:szCs w:val="22"/>
        </w:rPr>
        <w:t xml:space="preserve">Month 13–18: </w:t>
      </w:r>
    </w:p>
    <w:p>
      <w:pPr>
        <w:spacing w:after="0" w:before="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7C3AED" w:sz="12"/>
              <w:bottom w:val="none" w:color="FFFFFF" w:sz="0"/>
              <w:right w:val="none" w:color="FFFFFF" w:sz="0"/>
            </w:tcBorders>
            <w:shd w:fill="F5F3FF" w:val="clear"/>
            <w:tcMar>
              <w:top w:type="dxa" w:w="100"/>
              <w:left w:type="dxa" w:w="200"/>
              <w:bottom w:type="dxa" w:w="100"/>
              <w:right w:type="dxa" w:w="200"/>
            </w:tcMar>
          </w:tcPr>
          <w:p>
            <w:r>
              <w:rPr>
                <w:rFonts w:ascii="Arial" w:cs="Arial" w:eastAsia="Arial" w:hAnsi="Arial"/>
                <w:i/>
                <w:iCs/>
                <w:color w:val="111827"/>
                <w:sz w:val="22"/>
                <w:szCs w:val="22"/>
              </w:rPr>
              <w:t xml:space="preserve">Clay went from 0 to $100M ARR and a $3.1B valuation in 8 years building only enrichment. Flowfiy builds the full stack at 10% of the price. The market timing, pricing model, and product architecture are all correct — execution is the only variable.</w:t>
            </w:r>
          </w:p>
        </w:tc>
      </w:tr>
    </w:tbl>
    <w:p>
      <w:pPr>
        <w:spacing w:after="0" w:before="160"/>
      </w:pPr>
      <w:r>
        <w:t xml:space="preserve"/>
      </w:r>
    </w:p>
    <w:p>
      <w:r>
        <w:rPr>
          <w:rFonts w:ascii="Arial" w:cs="Arial" w:eastAsia="Arial" w:hAnsi="Arial"/>
          <w:i/>
          <w:iCs/>
          <w:color w:val="6B7280"/>
          <w:sz w:val="18"/>
          <w:szCs w:val="18"/>
        </w:rPr>
        <w:t xml:space="preserve">End of Report  ·  Flowfiy Market Research  ·  May 2026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2" w:space="4"/>
      </w:pBdr>
    </w:pPr>
    <w:r>
      <w:rPr>
        <w:rFonts w:ascii="Arial" w:cs="Arial" w:eastAsia="Arial" w:hAnsi="Arial"/>
        <w:color w:val="6B7280"/>
        <w:sz w:val="18"/>
        <w:szCs w:val="18"/>
      </w:rPr>
      <w:t xml:space="preserve">flowfiy.com  ·  The AI Outbound Platform That Doesn't Tax Your API</w:t>
    </w:r>
    <w:r>
      <w:rPr>
        <w:rFonts w:ascii="Arial" w:cs="Arial" w:eastAsia="Arial" w:hAnsi="Arial"/>
        <w:color w:val="6B7280"/>
        <w:sz w:val="18"/>
        <w:szCs w:val="18"/>
      </w:rPr>
      <w:t xml:space="preserve">		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2" w:space="4"/>
      </w:pBdr>
    </w:pPr>
    <w:r>
      <w:rPr>
        <w:rFonts w:ascii="Arial" w:cs="Arial" w:eastAsia="Arial" w:hAnsi="Arial"/>
        <w:color w:val="6B7280"/>
        <w:sz w:val="18"/>
        <w:szCs w:val="18"/>
      </w:rPr>
      <w:t xml:space="preserve">FLOWFIY  ·  Market Research Report  ·  May 2026</w:t>
    </w:r>
    <w:r>
      <w:rPr>
        <w:rFonts w:ascii="Arial" w:cs="Arial" w:eastAsia="Arial" w:hAnsi="Arial"/>
        <w:sz w:val="18"/>
        <w:szCs w:val="18"/>
      </w:rPr>
      <w:t xml:space="preserve">	</w:t>
    </w:r>
    <w:r>
      <w:rPr>
        <w:rFonts w:ascii="Arial" w:cs="Arial" w:eastAsia="Arial" w:hAnsi="Arial"/>
        <w:b/>
        <w:bCs/>
        <w:color w:val="7C3AED"/>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11827"/>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7C3AED"/>
      <w:sz w:val="28"/>
      <w:szCs w:val="28"/>
    </w:rPr>
  </w:style>
  <w:style w:type="paragraph" w:styleId="Heading3">
    <w:name w:val="Heading 3"/>
    <w:basedOn w:val="Normal"/>
    <w:next w:val="Normal"/>
    <w:qFormat/>
    <w:pPr>
      <w:spacing w:after="80" w:before="240"/>
      <w:outlineLvl w:val="2"/>
    </w:pPr>
    <w:rPr>
      <w:rFonts w:ascii="Arial" w:cs="Arial" w:eastAsia="Arial" w:hAnsi="Arial"/>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2026-05-19T10:39:49.794Z</dcterms:created>
  <dcterms:modified xsi:type="dcterms:W3CDTF">2026-05-19T10:39:49.795Z</dcterms:modified>
</cp:coreProperties>
</file>

<file path=docProps/custom.xml><?xml version="1.0" encoding="utf-8"?>
<Properties xmlns="http://schemas.openxmlformats.org/officeDocument/2006/custom-properties" xmlns:vt="http://schemas.openxmlformats.org/officeDocument/2006/docPropsVTypes"/>
</file>