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B2545"/>
          <w:sz w:val="52"/>
          <w:szCs w:val="52"/>
        </w:rPr>
        <w:t xml:space="preserve">Flowfiy</w:t>
      </w:r>
    </w:p>
    <w:p>
      <w:pPr>
        <w:pBdr>
          <w:bottom w:val="single" w:color="1B5FA8" w:sz="6" w:space="6"/>
        </w:pBdr>
        <w:spacing w:after="40"/>
      </w:pPr>
      <w:r>
        <w:rPr>
          <w:rFonts w:ascii="Arial" w:cs="Arial" w:eastAsia="Arial" w:hAnsi="Arial"/>
          <w:b/>
          <w:bCs/>
          <w:color w:val="1B5FA8"/>
          <w:sz w:val="30"/>
          <w:szCs w:val="30"/>
        </w:rPr>
        <w:t xml:space="preserve">Use of Funds &amp; Runway</w:t>
      </w:r>
    </w:p>
    <w:p>
      <w:pPr>
        <w:spacing w:after="240"/>
      </w:pPr>
      <w:r>
        <w:rPr>
          <w:rFonts w:ascii="Arial" w:cs="Arial" w:eastAsia="Arial" w:hAnsi="Arial"/>
          <w:color w:val="5A6473"/>
          <w:sz w:val="22"/>
          <w:szCs w:val="22"/>
        </w:rPr>
        <w:t xml:space="preserve">Pre-Seed Ask: </w:t>
      </w: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₹50,00,000</w:t>
      </w:r>
      <w:r>
        <w:rPr>
          <w:rFonts w:ascii="Arial" w:cs="Arial" w:eastAsia="Arial" w:hAnsi="Arial"/>
          <w:color w:val="5A6473"/>
          <w:sz w:val="22"/>
          <w:szCs w:val="22"/>
        </w:rPr>
        <w:t xml:space="preserve">   •   ~16-month runway floor   •   Made in Pune</w:t>
      </w:r>
    </w:p>
    <w:p>
      <w:pPr>
        <w:pStyle w:val="Heading2"/>
      </w:pPr>
      <w:r>
        <w:rPr>
          <w:rFonts w:ascii="Arial" w:cs="Arial" w:eastAsia="Arial" w:hAnsi="Arial"/>
        </w:rPr>
        <w:t xml:space="preserve">The short answer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₹50 lakh buys a ~16-month runway floor</w:t>
      </w:r>
      <w:r>
        <w:rPr>
          <w:rFonts w:ascii="Arial" w:cs="Arial" w:eastAsia="Arial" w:hAnsi="Arial"/>
        </w:rPr>
        <w:t xml:space="preserve">, deliberately weighted toward customer acquisition. Swanth (CTO) owns engineering in-house, so the raise funds </w:t>
      </w:r>
      <w:r>
        <w:rPr>
          <w:rFonts w:ascii="Arial" w:cs="Arial" w:eastAsia="Arial" w:hAnsi="Arial"/>
          <w:b/>
          <w:bCs/>
        </w:rPr>
        <w:t xml:space="preserve">no separate engineering salary</w:t>
      </w:r>
      <w:r>
        <w:rPr>
          <w:rFonts w:ascii="Arial" w:cs="Arial" w:eastAsia="Arial" w:hAnsi="Arial"/>
        </w:rPr>
        <w:t xml:space="preserve"> — instead it builds a focused </w:t>
      </w:r>
      <w:r>
        <w:rPr>
          <w:rFonts w:ascii="Arial" w:cs="Arial" w:eastAsia="Arial" w:hAnsi="Arial"/>
          <w:b/>
          <w:bCs/>
        </w:rPr>
        <w:t xml:space="preserve">three-person growth team — a Content Head, an SDR, and a Meta Ads Specialist</w:t>
      </w:r>
      <w:r>
        <w:rPr>
          <w:rFonts w:ascii="Arial" w:cs="Arial" w:eastAsia="Arial" w:hAnsi="Arial"/>
        </w:rPr>
        <w:t xml:space="preserve"> — around the two founders, plus the media budget to put that team to work. Because Flowfiy is already live, charging customers, and running at ~60% net margin, every new subscription extends this runway — so 16 months is the floor, not the ceiling.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5FA8"/>
        </w:rPr>
        <w:t xml:space="preserve">Hires are phased, not all on day one. </w:t>
      </w:r>
      <w:r>
        <w:rPr>
          <w:rFonts w:ascii="Arial" w:cs="Arial" w:eastAsia="Arial" w:hAnsi="Arial"/>
        </w:rPr>
        <w:t xml:space="preserve">The SDR and Content Head start in month 1; the Meta Ads Specialist begins as a freelancer running small test budgets and only converts to full-time in month 4, once a paid channel proves a CAC below our payback target. We spend on proof before we spend on scale.</w:t>
      </w:r>
    </w:p>
    <w:p>
      <w:pPr>
        <w:pStyle w:val="Heading2"/>
      </w:pPr>
      <w:r>
        <w:rPr>
          <w:rFonts w:ascii="Arial" w:cs="Arial" w:eastAsia="Arial" w:hAnsi="Arial"/>
        </w:rPr>
        <w:t xml:space="preserve">Allocation at a glance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11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Bucket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Amount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Share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Team — 2 founders + 3 GTM hires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₹26L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52%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Growth-weighted team, modest founder pay</w:t>
            </w:r>
          </w:p>
        </w:tc>
      </w:tr>
      <w:tr>
        <w:tc>
          <w:tcPr>
            <w:tcW w:type="dxa" w:w="3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Paid acquisition &amp; ad spend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₹14L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28%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Meta / Google media + creative</w:t>
            </w:r>
          </w:p>
        </w:tc>
      </w:tr>
      <w:tr>
        <w:tc>
          <w:tcPr>
            <w:tcW w:type="dxa" w:w="3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AI, data &amp; infrastructure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₹6L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12%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COGS + platform reliability</w:t>
            </w:r>
          </w:p>
        </w:tc>
      </w:tr>
      <w:tr>
        <w:tc>
          <w:tcPr>
            <w:tcW w:type="dxa" w:w="3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Compliance, tools &amp; buffer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₹4L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8%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Legal, SaaS, contingency</w:t>
            </w:r>
          </w:p>
        </w:tc>
      </w:tr>
      <w:tr>
        <w:tc>
          <w:tcPr>
            <w:tcW w:type="dxa" w:w="3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₹50L</w:t>
            </w:r>
          </w:p>
        </w:tc>
        <w:tc>
          <w:tcPr>
            <w:tcW w:type="dxa" w:w="1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100%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~16 months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Bucket 1 — Team · ₹26L (52%)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19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Salary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Period</w:t>
            </w:r>
          </w:p>
        </w:tc>
        <w:tc>
          <w:tcPr>
            <w:tcW w:type="dxa" w:w="2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Founders (2 × ₹30K)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₹60K/mo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1–16</w:t>
            </w:r>
          </w:p>
        </w:tc>
        <w:tc>
          <w:tcPr>
            <w:tcW w:type="dxa" w:w="2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₹9.6L</w:t>
            </w:r>
          </w:p>
        </w:tc>
      </w:tr>
      <w:tr>
        <w:tc>
          <w:tcPr>
            <w:tcW w:type="dxa" w:w="3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Content Head (script · shoot · edit · post)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₹45K/mo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1–16</w:t>
            </w:r>
          </w:p>
        </w:tc>
        <w:tc>
          <w:tcPr>
            <w:tcW w:type="dxa" w:w="2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₹7.2L</w:t>
            </w:r>
          </w:p>
        </w:tc>
      </w:tr>
      <w:tr>
        <w:tc>
          <w:tcPr>
            <w:tcW w:type="dxa" w:w="3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SDR (base + commission)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₹30K/mo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1–16</w:t>
            </w:r>
          </w:p>
        </w:tc>
        <w:tc>
          <w:tcPr>
            <w:tcW w:type="dxa" w:w="2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₹4.8L</w:t>
            </w:r>
          </w:p>
        </w:tc>
      </w:tr>
      <w:tr>
        <w:tc>
          <w:tcPr>
            <w:tcW w:type="dxa" w:w="3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Meta Ads Specialist (freelance → full-time)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₹35K/mo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4–16</w:t>
            </w:r>
          </w:p>
        </w:tc>
        <w:tc>
          <w:tcPr>
            <w:tcW w:type="dxa" w:w="2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₹4.4L</w:t>
            </w:r>
          </w:p>
        </w:tc>
      </w:tr>
      <w:tr>
        <w:tc>
          <w:tcPr>
            <w:tcW w:type="dxa" w:w="3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Subtotal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/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/>
            </w:r>
          </w:p>
        </w:tc>
        <w:tc>
          <w:tcPr>
            <w:tcW w:type="dxa" w:w="2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≈ ₹26L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Who does what. </w:t>
      </w:r>
      <w:r>
        <w:rPr>
          <w:rFonts w:ascii="Arial" w:cs="Arial" w:eastAsia="Arial" w:hAnsi="Arial"/>
        </w:rPr>
        <w:t xml:space="preserve">Swanth (CTO) leads product and engineering — so the round funds no engineering salary. Ayush (CEO) owns sales, marketing and customer acquisition, and is the closer on every demo. The three hires multiply that GTM motion: the Content Head runs the founder-led content engine (scripts, shoots with Ayush, edits and posts across social), the SDR keeps Ayush's demo calendar full, and the Meta Ads Specialist runs paid.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Why these roles are phased. </w:t>
      </w:r>
      <w:r>
        <w:rPr>
          <w:rFonts w:ascii="Arial" w:cs="Arial" w:eastAsia="Arial" w:hAnsi="Arial"/>
        </w:rPr>
        <w:t xml:space="preserve">SDR and Content Head start in month 1 — both produce pipeline and brand immediately at low cost. The Meta Ads Specialist runs as a paid freelancer for months 1–3 (funded from the ad-creative line) and only joins full-time in month 4, once a paid channel shows a CAC inside our payback target. The most expensive, most uncertain lever stays on a leash until it is proven.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Why an investor likes it. </w:t>
      </w:r>
      <w:r>
        <w:rPr>
          <w:rFonts w:ascii="Arial" w:cs="Arial" w:eastAsia="Arial" w:hAnsi="Arial"/>
        </w:rPr>
        <w:t xml:space="preserve">Founders at ₹30K each is well below market — a pure commitment signal. Engineering is covered by the CTO at no salary cost, so nearly half the raise (48%) goes to acquisition and infrastructure rather than headcount, and every hire is a growth role, not overhead.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Bucket 2 — Paid Acquisition &amp; Ad Spend · ₹14L (28%)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B5FA8"/>
        </w:rPr>
        <w:t xml:space="preserve">The growth engine. </w:t>
      </w:r>
      <w:r>
        <w:rPr>
          <w:rFonts w:ascii="Arial" w:cs="Arial" w:eastAsia="Arial" w:hAnsi="Arial"/>
        </w:rPr>
        <w:t xml:space="preserve">This is the media budget itself — distinct from the Meta Ads Specialist's salary in Bucket 1. A specialist with no spend behind them is toothless, so the ad money is budgeted as its own 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Total</w:t>
            </w:r>
          </w:p>
        </w:tc>
        <w:tc>
          <w:tcPr>
            <w:tcW w:type="dxa" w:w="4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Covers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Meta / Google ad spend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₹10L</w:t>
            </w:r>
          </w:p>
        </w:tc>
        <w:tc>
          <w:tcPr>
            <w:tcW w:type="dxa" w:w="4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Test budgets in Mo 1–3, scaled spend once CAC is proven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Ad creative &amp; freelance specialist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₹2.5L</w:t>
            </w:r>
          </w:p>
        </w:tc>
        <w:tc>
          <w:tcPr>
            <w:tcW w:type="dxa" w:w="4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1–3 freelance Meta management + video, design, landing pages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Affiliate / referral seed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₹1.5L</w:t>
            </w:r>
          </w:p>
        </w:tc>
        <w:tc>
          <w:tcPr>
            <w:tcW w:type="dxa" w:w="4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Tracking platform + early commissions to referrers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₹14L</w:t>
            </w:r>
          </w:p>
        </w:tc>
        <w:tc>
          <w:tcPr>
            <w:tcW w:type="dxa" w:w="4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Paid + organic compound each other. </w:t>
      </w:r>
      <w:r>
        <w:rPr>
          <w:rFonts w:ascii="Arial" w:cs="Arial" w:eastAsia="Arial" w:hAnsi="Arial"/>
        </w:rPr>
        <w:t xml:space="preserve">The Content Head's founder-led videos double as paid ad creative, so the same content engine feeds both channels — organic reach and lower-cost, higher-converting paid. This is why the content and ads hires are deliberately paired.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Channel fit. </w:t>
      </w:r>
      <w:r>
        <w:rPr>
          <w:rFonts w:ascii="Arial" w:cs="Arial" w:eastAsia="Arial" w:hAnsi="Arial"/>
        </w:rPr>
        <w:t xml:space="preserve">Meta / Instagram is the lead channel for SMB and local-business buyers (the segment Flowfiy already wins). If demand testing shows the buyer skews mid-market B2B, this same budget shifts to LinkedIn — the spend is channel-agnostic; only the targeting changes.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Why an investor likes it. </w:t>
      </w:r>
      <w:r>
        <w:rPr>
          <w:rFonts w:ascii="Arial" w:cs="Arial" w:eastAsia="Arial" w:hAnsi="Arial"/>
        </w:rPr>
        <w:t xml:space="preserve">Every rupee here is measurable on CAC and LTV, and it is fuel on a fire that already works — the self-serve flywheel converts at zero spend today, and a small affiliate seed turns happy users into a compounding referral base.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Bucket 3 — AI, Data &amp; Infrastructure · ₹6L (12%)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700"/>
        <w:gridCol w:w="2826"/>
      </w:tblGrid>
      <w:tr>
        <w:trPr>
          <w:tblHeader/>
        </w:trP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Total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Covers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LLM API credits (Anthropic / Gemini)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₹2.5L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Planner, research, qualification, writing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Data &amp; scraping (Maps, B2B data)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₹1.5L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Lead discovery sources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Email deliverability &amp; sending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Domains, warmup, inbox health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Hosting / DB / infra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24/7 pipeline reliability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₹6L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Why it is the smallest bucket. </w:t>
      </w:r>
      <w:r>
        <w:rPr>
          <w:rFonts w:ascii="Arial" w:cs="Arial" w:eastAsia="Arial" w:hAnsi="Arial"/>
        </w:rPr>
        <w:t xml:space="preserve">This is cost of goods sold. At a ~3.2× markup and ~60% net margin, paying customers cover most incremental cost, so ₹6L is a buffer that stretches well past 16 months as revenue ramps. Funding paid acquisition harder here carries little real risk.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Bucket 4 — Compliance, Tools &amp; Buffer · ₹4L (8%)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700"/>
        <w:gridCol w:w="2826"/>
      </w:tblGrid>
      <w:tr>
        <w:trPr>
          <w:tblHeader/>
        </w:trP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Line item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Total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Covers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Legal &amp; compliance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Incorporation, CA, GST, contracts, IP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SaaS tool stack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Analytics, CRM, design, support, dev tools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Payment &amp; transaction fees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₹0.5L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Gateway / processing on subscriptions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Contingency buffer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₹1.5L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~3% of the raise — the unplanned</w:t>
            </w:r>
          </w:p>
        </w:tc>
      </w:tr>
      <w:tr>
        <w:tc>
          <w:tcPr>
            <w:tcW w:type="dxa" w:w="4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₹4L</w:t>
            </w:r>
          </w:p>
        </w:tc>
        <w:tc>
          <w:tcPr>
            <w:tcW w:type="dxa" w:w="28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/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How It Ties Together — Burn Ramp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Spend is phased: light while we validate channels, heavier once paid and affiliate are scaling (and increasingly offset by revenue).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Months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Monthly burn</w:t>
            </w:r>
          </w:p>
        </w:tc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What's running</w:t>
            </w:r>
          </w:p>
        </w:tc>
      </w:tr>
      <w:tr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Build</w:t>
            </w:r>
          </w:p>
        </w:tc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1–3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~₹2.3L / mo</w:t>
            </w:r>
          </w:p>
        </w:tc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Founders + Content Head + SDR; freelance Meta tests, light spend</w:t>
            </w:r>
          </w:p>
        </w:tc>
      </w:tr>
      <w:tr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4–9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~₹3.2L / mo</w:t>
            </w:r>
          </w:p>
        </w:tc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+ Meta Specialist full-time; paid scaling once CAC proven</w:t>
            </w:r>
          </w:p>
        </w:tc>
      </w:tr>
      <w:tr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Push</w:t>
            </w:r>
          </w:p>
        </w:tc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 10–16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~₹3.6L / mo</w:t>
            </w:r>
          </w:p>
        </w:tc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Full team, heaviest paid + affiliate (offset by revenue)</w:t>
            </w:r>
          </w:p>
        </w:tc>
      </w:tr>
      <w:tr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16 months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≈ ₹50L</w:t>
            </w:r>
          </w:p>
        </w:tc>
        <w:tc>
          <w:tcPr>
            <w:tcW w:type="dxa" w:w="30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0B254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Extends as revenue ramps at ~60% margin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Runway Under Two Scenarios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On pure cash — assuming zero revenue — the ₹50L lasts about 16 months. In reality revenue offsets burn, so the question that matters is </w:t>
      </w:r>
      <w:r>
        <w:rPr>
          <w:rFonts w:ascii="Arial" w:cs="Arial" w:eastAsia="Arial" w:hAnsi="Arial"/>
          <w:b/>
          <w:bCs/>
        </w:rPr>
        <w:t xml:space="preserve">how soon revenue starts carrying the cost.</w:t>
      </w:r>
      <w:r>
        <w:rPr>
          <w:rFonts w:ascii="Arial" w:cs="Arial" w:eastAsia="Arial" w:hAnsi="Arial"/>
        </w:rPr>
        <w:t xml:space="preserve"> We stress-test the plan against an optimistic and a conservative breakeven, and the phased hiring above is what protects the downside.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900"/>
        <w:gridCol w:w="3326"/>
      </w:tblGrid>
      <w:tr>
        <w:trPr>
          <w:tblHeader/>
        </w:trPr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Breakeven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Net runway</w:t>
            </w:r>
          </w:p>
        </w:tc>
        <w:tc>
          <w:tcPr>
            <w:tcW w:type="dxa" w:w="3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DCE8F5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B2545"/>
              </w:rPr>
              <w:t xml:space="preserve">What it means</w:t>
            </w:r>
          </w:p>
        </w:tc>
      </w:tr>
      <w:tr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Plan case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Month 4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16-mo floor, extends</w:t>
            </w:r>
          </w:p>
        </w:tc>
        <w:tc>
          <w:tcPr>
            <w:tcW w:type="dxa" w:w="3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Revenue covers COGS + part of burn from Mo 4; later months are increasingly self-funded, so the raise becomes growth fuel rather than life support — effective runway 18+ months</w:t>
            </w:r>
          </w:p>
        </w:tc>
      </w:tr>
      <w:tr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Conservative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Month 8–10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~16 mo, pull levers Mo 6</w:t>
            </w:r>
          </w:p>
        </w:tc>
        <w:tc>
          <w:tcPr>
            <w:tcW w:type="dxa" w:w="33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Higher pre-revenue burn; trigger the levers below (delay Meta full-time hire, trim paid ₹2–3L, hold founder pay) to stretch toward ~18 months and give revenue time to ramp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Why the downside is survivable. </w:t>
      </w:r>
      <w:r>
        <w:rPr>
          <w:rFonts w:ascii="Arial" w:cs="Arial" w:eastAsia="Arial" w:hAnsi="Arial"/>
        </w:rPr>
        <w:t xml:space="preserve">Most of the burn that scales — paid spend and the Meta full-time hire — is discretionary and gated on proof. If revenue is slow, we simply do not flip those on, and burn stays near the ₹2.3L build-phase level. The fixed cost (two founders + Content Head + SDR) is only ~₹1.7L/mo, which the existing customer base increasingly covers on its own.</w:t>
      </w:r>
    </w:p>
    <w:p>
      <w:pPr>
        <w:spacing w:after="16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What This Round Buys (Milestones to Next Raise)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By the end of the runway, the round should have produced the evidence needed to raise a seed at a materially higher valuation: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Both founders full-time, with a three-person GTM team (Content Head, SDR, Meta Ads Specialist) in 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 growing base of paying customers and predictable monthly recurring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First 10,000 SMEs reached, with a measurable free → paid conversion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Unit economics proven at scale — CAC payback, ~60% margin held, retention curve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Three repeatable, measurable growth channels live: paid (Meta/Google), founder-led organic content, and SDR-driven outbound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Levers (If the Plan Needs to Flex)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Want a longer runway? </w:t>
      </w:r>
      <w:r>
        <w:rPr>
          <w:rFonts w:ascii="Arial" w:cs="Arial" w:eastAsia="Arial" w:hAnsi="Arial"/>
        </w:rPr>
        <w:t xml:space="preserve">Keep the Meta Specialist freelance past month 4 and trim paid by ₹2L — pushes effective runway toward ~18 months.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Want faster growth? </w:t>
      </w:r>
      <w:r>
        <w:rPr>
          <w:rFonts w:ascii="Arial" w:cs="Arial" w:eastAsia="Arial" w:hAnsi="Arial"/>
        </w:rPr>
        <w:t xml:space="preserve">Move ₹2L from buffer / COGS into ad spend once CAC is proven — shorter runway, more top-of-funnel.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Founder pay is the single dial: </w:t>
      </w:r>
      <w:r>
        <w:rPr>
          <w:rFonts w:ascii="Arial" w:cs="Arial" w:eastAsia="Arial" w:hAnsi="Arial"/>
        </w:rPr>
        <w:t xml:space="preserve">every ₹10K/mo per founder moves the total ~₹3.2L over 16 months.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2" w:sz="4" w:space="6"/>
      </w:pBdr>
      <w:jc w:val="center"/>
    </w:pPr>
    <w:r>
      <w:rPr>
        <w:rFonts w:ascii="Arial" w:cs="Arial" w:eastAsia="Arial" w:hAnsi="Arial"/>
        <w:color w:val="5A6473"/>
        <w:sz w:val="16"/>
        <w:szCs w:val="16"/>
      </w:rPr>
      <w:t xml:space="preserve">Flowfiy  ·  Confidential  ·  flowfiy.com  ·  investor@flowfiy.com        Page </w:t>
    </w:r>
    <w:r>
      <w:rPr>
        <w:rFonts w:ascii="Arial" w:cs="Arial" w:eastAsia="Arial" w:hAnsi="Arial"/>
        <w:color w:val="5A64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1B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0B254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5F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Flowfiy — Use of Funds &amp; Runway</dc:title>
  <dc:creator>Flowfiy</dc:creator>
  <cp:lastModifiedBy>Un-named</cp:lastModifiedBy>
  <cp:revision>1</cp:revision>
  <dcterms:created xsi:type="dcterms:W3CDTF">2026-06-26T22:43:27.675Z</dcterms:created>
  <dcterms:modified xsi:type="dcterms:W3CDTF">2026-06-26T22:43:27.675Z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