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200" w:before="0"/>
      </w:pPr>
      <w:r>
        <w:rPr>
          <w:rFonts w:ascii="Arial" w:cs="Arial" w:eastAsia="Arial" w:hAnsi="Arial"/>
          <w:b/>
          <w:bCs/>
          <w:sz w:val="64"/>
          <w:szCs w:val="64"/>
        </w:rPr>
        <w:t xml:space="preserve">Flowfiy</w:t>
      </w:r>
    </w:p>
    <w:p>
      <w:pPr>
        <w:pBdr>
          <w:bottom w:val="single" w:color="222222" w:sz="8" w:space="8"/>
        </w:pBdr>
        <w:spacing w:after="160" w:before="0"/>
      </w:pPr>
      <w:r>
        <w:rPr>
          <w:rFonts w:ascii="Arial" w:cs="Arial" w:eastAsia="Arial" w:hAnsi="Arial"/>
          <w:b/>
          <w:bCs/>
          <w:sz w:val="40"/>
          <w:szCs w:val="40"/>
        </w:rPr>
        <w:t xml:space="preserve">Complete Feature List</w:t>
      </w:r>
    </w:p>
    <w:p>
      <w:pPr>
        <w:spacing w:after="80" w:before="160"/>
      </w:pPr>
      <w:r>
        <w:rPr>
          <w:rFonts w:ascii="Arial" w:cs="Arial" w:eastAsia="Arial" w:hAnsi="Arial"/>
          <w:i/>
          <w:iCs/>
          <w:color w:val="555555"/>
          <w:sz w:val="24"/>
          <w:szCs w:val="24"/>
        </w:rPr>
        <w:t xml:space="preserve">Every capability built into the platform, explained simply.</w:t>
      </w:r>
    </w:p>
    <w:p>
      <w:pPr>
        <w:spacing w:after="400" w:before="0"/>
      </w:pPr>
      <w:r>
        <w:t xml:space="preserve"/>
      </w:r>
    </w:p>
    <w:p>
      <w:pPr>
        <w:spacing w:after="0" w:before="0"/>
      </w:pPr>
      <w:r>
        <w:rPr>
          <w:rFonts w:ascii="Arial" w:cs="Arial" w:eastAsia="Arial" w:hAnsi="Arial"/>
          <w:color w:val="333333"/>
          <w:sz w:val="22"/>
          <w:szCs w:val="22"/>
        </w:rPr>
        <w:t xml:space="preserve">Flowfiy is a full-stack AI outbound platform built on a 5-agent Claude pipeline. Below is every feature shipped into production, organized by category. Each feature is defined and explained so any team member, investor, or partner can understand what it does and how it works under the hood.</w:t>
      </w:r>
    </w:p>
    <w:p>
      <w:pPr>
        <w:spacing w:after="160" w:before="0"/>
      </w:pPr>
      <w:r>
        <w:t xml:space="preserve"/>
      </w:r>
    </w:p>
    <w:p>
      <w:pPr>
        <w:spacing w:after="80" w:before="0"/>
      </w:pPr>
      <w:r>
        <w:rPr>
          <w:rFonts w:ascii="Arial" w:cs="Arial" w:eastAsia="Arial" w:hAnsi="Arial"/>
          <w:color w:val="888888"/>
          <w:sz w:val="18"/>
          <w:szCs w:val="18"/>
        </w:rPr>
        <w:t xml:space="preserve">Total features documented: 38   |   Sections: 6   |   Version: 1.0   |   Date: May 2026</w:t>
      </w:r>
    </w:p>
    <w:p>
      <w:pPr>
        <w:pStyle w:val="Heading1"/>
        <w:pageBreakBefore/>
      </w:pPr>
      <w:r>
        <w:rPr>
          <w:rFonts w:ascii="Arial" w:cs="Arial" w:eastAsia="Arial" w:hAnsi="Arial"/>
          <w:b/>
          <w:bCs/>
          <w:sz w:val="28"/>
          <w:szCs w:val="28"/>
        </w:rPr>
        <w:t xml:space="preserve">1.  AI Pipeline &amp; Lead Intelligence</w:t>
      </w:r>
    </w:p>
    <w:p>
      <w:pPr>
        <w:pBdr>
          <w:bottom w:val="single" w:color="CCCCCC" w:sz="4" w:space="4"/>
        </w:pBdr>
        <w:spacing w:after="80" w:before="280"/>
      </w:pPr>
      <w:r>
        <w:rPr>
          <w:rFonts w:ascii="Arial" w:cs="Arial" w:eastAsia="Arial" w:hAnsi="Arial"/>
          <w:b/>
          <w:bCs/>
          <w:sz w:val="24"/>
          <w:szCs w:val="24"/>
        </w:rPr>
        <w:t xml:space="preserve">1.1  —  ICP Analyzer</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Analyzes the user's business profile and generates a structured Ideal Customer Profile used to guide all downstream lead discovery and qualification.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 user sets up their business profile (service offered, target industries, geographies, pain points), a Claude agent reads this data and produces a detailed ICP JSON object. This ICP is cached on the organization and passed to every subsequent agent as context. It answers: who exactly should we be targeting, and why?</w:t>
      </w:r>
    </w:p>
    <w:p>
      <w:pPr>
        <w:pBdr>
          <w:bottom w:val="single" w:color="CCCCCC" w:sz="4" w:space="4"/>
        </w:pBdr>
        <w:spacing w:after="80" w:before="280"/>
      </w:pPr>
      <w:r>
        <w:rPr>
          <w:rFonts w:ascii="Arial" w:cs="Arial" w:eastAsia="Arial" w:hAnsi="Arial"/>
          <w:b/>
          <w:bCs/>
          <w:sz w:val="24"/>
          <w:szCs w:val="24"/>
        </w:rPr>
        <w:t xml:space="preserve">1.2  —  Lead Discovery Agent (Apollo.io)</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Searches Apollo.io's 275M+ contact database to find leads that match the ICP criteria — title, company size, industry, and geography.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agent constructs Apollo people-search queries using ICP signals (job titles, industries, keywords, company size ranges, geographies). It pages through results, deduplicates by email domain, and writes raw lead records to the database. Discovery runs fully autonomously — no manual search configuration required.</w:t>
      </w:r>
    </w:p>
    <w:p>
      <w:pPr>
        <w:pBdr>
          <w:bottom w:val="single" w:color="CCCCCC" w:sz="4" w:space="4"/>
        </w:pBdr>
        <w:spacing w:after="80" w:before="280"/>
      </w:pPr>
      <w:r>
        <w:rPr>
          <w:rFonts w:ascii="Arial" w:cs="Arial" w:eastAsia="Arial" w:hAnsi="Arial"/>
          <w:b/>
          <w:bCs/>
          <w:sz w:val="24"/>
          <w:szCs w:val="24"/>
        </w:rPr>
        <w:t xml:space="preserve">1.3  —  Company Analyzer Agent (Apify)</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Scrapes each prospect's company website in real time to gather live intelligence: services, messaging clarity, tech signals, and growth indicators.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For each lead, an Apify actor fetches and crawls the company website. The Claude agent reads the scraped content and extracts structured insights — what the company does, their messaging quality, visible pain points, and growth signals like recent hires or product launches. This data feeds the qualification and personalization agents.</w:t>
      </w:r>
    </w:p>
    <w:p>
      <w:pPr>
        <w:pBdr>
          <w:bottom w:val="single" w:color="CCCCCC" w:sz="4" w:space="4"/>
        </w:pBdr>
        <w:spacing w:after="80" w:before="280"/>
      </w:pPr>
      <w:r>
        <w:rPr>
          <w:rFonts w:ascii="Arial" w:cs="Arial" w:eastAsia="Arial" w:hAnsi="Arial"/>
          <w:b/>
          <w:bCs/>
          <w:sz w:val="24"/>
          <w:szCs w:val="24"/>
        </w:rPr>
        <w:t xml:space="preserve">1.4  —  Qualification Agent</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Scores each lead 0-100 based on ICP fit and assigns QUALIFIED or DISQUALIFIED status, with a written justification.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agent receives the ICP analysis plus the company research and evaluates the lead across multiple dimensions: title match, company size, industry relevance, and pain point alignment. Leads scoring 60 or above are marked QUALIFIED. The score and best opportunity angle are stored for use in outreach personalization.</w:t>
      </w:r>
    </w:p>
    <w:p>
      <w:pPr>
        <w:pBdr>
          <w:bottom w:val="single" w:color="CCCCCC" w:sz="4" w:space="4"/>
        </w:pBdr>
        <w:spacing w:after="80" w:before="280"/>
      </w:pPr>
      <w:r>
        <w:rPr>
          <w:rFonts w:ascii="Arial" w:cs="Arial" w:eastAsia="Arial" w:hAnsi="Arial"/>
          <w:b/>
          <w:bCs/>
          <w:sz w:val="24"/>
          <w:szCs w:val="24"/>
        </w:rPr>
        <w:t xml:space="preserve">1.5  —  Personalization Agent</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Writes a fully personalized cold email (subject, body, 2-3 follow-ups) for every qualified lead, grounded in real research observations.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agent receives the lead's company research, qualification score, and opportunity angle, then writes the complete outreach sequence. Each email references a specific, real-observed signal from the company (not generic praise). Follow-up 1 is a value-add, Follow-up 2 is a soft nudge, and Follow-up 3 is a short breakup email — each written in a founder-to-founder tone.</w:t>
      </w:r>
    </w:p>
    <w:p>
      <w:pPr>
        <w:pBdr>
          <w:bottom w:val="single" w:color="CCCCCC" w:sz="4" w:space="4"/>
        </w:pBdr>
        <w:spacing w:after="80" w:before="280"/>
      </w:pPr>
      <w:r>
        <w:rPr>
          <w:rFonts w:ascii="Arial" w:cs="Arial" w:eastAsia="Arial" w:hAnsi="Arial"/>
          <w:b/>
          <w:bCs/>
          <w:sz w:val="24"/>
          <w:szCs w:val="24"/>
        </w:rPr>
        <w:t xml:space="preserve">1.6  —  Lead Import Mode</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Allows users to upload their own lead list (CSV) and run only the research + qualification + personalization pipeline, skipping Apollo discovery.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Users upload a CSV with columns like firstName, lastName, email, company, title, website. Flowfiy maps and imports the rows into a LeadList, then triggers the orchestrator in import mode — the ICP analyzer and qualification agents run, but the Apollo search step is bypassed entirely. Useful when users already have a list they want enriched.</w:t>
      </w:r>
    </w:p>
    <w:p>
      <w:pPr>
        <w:pStyle w:val="Heading1"/>
        <w:pageBreakBefore/>
      </w:pPr>
      <w:r>
        <w:rPr>
          <w:rFonts w:ascii="Arial" w:cs="Arial" w:eastAsia="Arial" w:hAnsi="Arial"/>
          <w:b/>
          <w:bCs/>
          <w:sz w:val="28"/>
          <w:szCs w:val="28"/>
        </w:rPr>
        <w:t xml:space="preserve">2.  Campaign &amp; Outreach Management</w:t>
      </w:r>
    </w:p>
    <w:p>
      <w:pPr>
        <w:pBdr>
          <w:bottom w:val="single" w:color="CCCCCC" w:sz="4" w:space="4"/>
        </w:pBdr>
        <w:spacing w:after="80" w:before="280"/>
      </w:pPr>
      <w:r>
        <w:rPr>
          <w:rFonts w:ascii="Arial" w:cs="Arial" w:eastAsia="Arial" w:hAnsi="Arial"/>
          <w:b/>
          <w:bCs/>
          <w:sz w:val="24"/>
          <w:szCs w:val="24"/>
        </w:rPr>
        <w:t xml:space="preserve">2.1  —  Campaign Creation &amp; Management</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Campaigns group a lead list with outreach settings (from address, Calendly link, daily send limit) and control the entire outreach lifecycle.</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Users create a campaign by selecting a READY lead list and configuring settings. The campaign moves through statuses: DRAFT, ACTIVE, PAUSED, COMPLETED. All emails sent, follow-ups queued, replies detected, and meetings booked are tracked against the campaign and aggregated into campaign-level metrics.</w:t>
      </w:r>
    </w:p>
    <w:p>
      <w:pPr>
        <w:pBdr>
          <w:bottom w:val="single" w:color="CCCCCC" w:sz="4" w:space="4"/>
        </w:pBdr>
        <w:spacing w:after="80" w:before="280"/>
      </w:pPr>
      <w:r>
        <w:rPr>
          <w:rFonts w:ascii="Arial" w:cs="Arial" w:eastAsia="Arial" w:hAnsi="Arial"/>
          <w:b/>
          <w:bCs/>
          <w:sz w:val="24"/>
          <w:szCs w:val="24"/>
        </w:rPr>
        <w:t xml:space="preserve">2.2  —  Email Copy Approval Workflow</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Every AI-generated email must be reviewed and approved by the user before it can be sent in a campaign — preventing unreviewed copy from reaching prospects.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After the AI pipeline runs, each OutreachCopy record has isApproved set to false. The campaign launch endpoint checks for unapproved copies and returns a 422 error with the count if any exist. Users can approve individually or bulk-approve the entire campaign. Editing any content field automatically revokes approval, forcing a re-review.</w:t>
      </w:r>
    </w:p>
    <w:p>
      <w:pPr>
        <w:pBdr>
          <w:bottom w:val="single" w:color="CCCCCC" w:sz="4" w:space="4"/>
        </w:pBdr>
        <w:spacing w:after="80" w:before="280"/>
      </w:pPr>
      <w:r>
        <w:rPr>
          <w:rFonts w:ascii="Arial" w:cs="Arial" w:eastAsia="Arial" w:hAnsi="Arial"/>
          <w:b/>
          <w:bCs/>
          <w:sz w:val="24"/>
          <w:szCs w:val="24"/>
        </w:rPr>
        <w:t xml:space="preserve">2.3  —  Campaign Launch with Deduplication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Launching a campaign queues all pending lead emails into the job system, with automatic cross-list deduplication to prevent double-contacting prospects.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At launch, Flowfiy checks whether any lead email address has already been contacted (SENT, OPENED, or REPLIED status) in another active or completed campaign for the same organization. Duplicates are reported at launch time, and the email processor also skips them at send time. This prevents the same prospect from receiving cold emails from two different campaigns simultaneously.</w:t>
      </w:r>
    </w:p>
    <w:p>
      <w:pPr>
        <w:pBdr>
          <w:bottom w:val="single" w:color="CCCCCC" w:sz="4" w:space="4"/>
        </w:pBdr>
        <w:spacing w:after="80" w:before="280"/>
      </w:pPr>
      <w:r>
        <w:rPr>
          <w:rFonts w:ascii="Arial" w:cs="Arial" w:eastAsia="Arial" w:hAnsi="Arial"/>
          <w:b/>
          <w:bCs/>
          <w:sz w:val="24"/>
          <w:szCs w:val="24"/>
        </w:rPr>
        <w:t xml:space="preserve">2.4  —  Multi-Step Follow-Up Sequences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Each campaign automatically sends up to 3 follow-up emails per lead at configured intervals, stopping immediately if the prospect replies.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follow-up scheduler runs daily and queries the database for leads where the delay threshold has elapsed: Follow-up 1 (default 3 days after initial), Follow-up 2 (default 7 days), Follow-up 3 (default 14 days, a final breakup email). Each step is enqueued as a separate job that sends in the same Gmail thread. The scheduler checks for replies before queuing, so a replied lead never receives a follow-up.</w:t>
      </w:r>
    </w:p>
    <w:p>
      <w:pPr>
        <w:pBdr>
          <w:bottom w:val="single" w:color="CCCCCC" w:sz="4" w:space="4"/>
        </w:pBdr>
        <w:spacing w:after="80" w:before="280"/>
      </w:pPr>
      <w:r>
        <w:rPr>
          <w:rFonts w:ascii="Arial" w:cs="Arial" w:eastAsia="Arial" w:hAnsi="Arial"/>
          <w:b/>
          <w:bCs/>
          <w:sz w:val="24"/>
          <w:szCs w:val="24"/>
        </w:rPr>
        <w:t xml:space="preserve">2.5  —  Configurable Follow-Up Timing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Users can change the number of days between follow-ups on a live campaign, and the new timing takes effect immediately for all unsent follow-ups.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timing endpoint accepts followUp1DelayDays, followUp2DelayDays, and followUp3DelayDays. Because timing is evaluated at queue time (not at job creation time), changing these values mid-campaign affects all leads that have not yet reached that follow-up step. The endpoint also returns counts of how many pending follow-ups will be affected by the change.</w:t>
      </w:r>
    </w:p>
    <w:p>
      <w:pPr>
        <w:pBdr>
          <w:bottom w:val="single" w:color="CCCCCC" w:sz="4" w:space="4"/>
        </w:pBdr>
        <w:spacing w:after="80" w:before="280"/>
      </w:pPr>
      <w:r>
        <w:rPr>
          <w:rFonts w:ascii="Arial" w:cs="Arial" w:eastAsia="Arial" w:hAnsi="Arial"/>
          <w:b/>
          <w:bCs/>
          <w:sz w:val="24"/>
          <w:szCs w:val="24"/>
        </w:rPr>
        <w:t xml:space="preserve">2.6  —  Campaign A/B Testing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Splits campaign leads into two variants (A and B) at launch to test which email copy gets better open and reply rates.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abTestEnabled is true on a campaign, the launch endpoint alternates lead assignments: lead 1 to variant A, lead 2 to variant B, and so on. This creates an equal 50/50 split. After sending, the ab-results endpoint returns per-variant sent, opened, and replied counts with open rates and reply rates. The system automatically declares a winner when both variants have at least 10 sends and one clearly outperforms the other.</w:t>
      </w:r>
    </w:p>
    <w:p>
      <w:pPr>
        <w:pBdr>
          <w:bottom w:val="single" w:color="CCCCCC" w:sz="4" w:space="4"/>
        </w:pBdr>
        <w:spacing w:after="80" w:before="280"/>
      </w:pPr>
      <w:r>
        <w:rPr>
          <w:rFonts w:ascii="Arial" w:cs="Arial" w:eastAsia="Arial" w:hAnsi="Arial"/>
          <w:b/>
          <w:bCs/>
          <w:sz w:val="24"/>
          <w:szCs w:val="24"/>
        </w:rPr>
        <w:t xml:space="preserve">2.7  —  Reply Detection (Gmail Polling)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Automatically detects when a prospect replies to an outreach email by polling Gmail threads, and immediately stops any further follow-ups to that lead.</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daily cron job fetches each active campaign lead's Gmail thread using the Gmail API. If a thread has more than one message, a reply has been received. The lead and campaign lead are atomically updated to REPLIED status, and the reply count on the campaign is incremented. Reply detection always runs before the follow-up scheduler so that no follow-up is ever queued for a lead who has already responded.</w:t>
      </w:r>
    </w:p>
    <w:p>
      <w:pPr>
        <w:pBdr>
          <w:bottom w:val="single" w:color="CCCCCC" w:sz="4" w:space="4"/>
        </w:pBdr>
        <w:spacing w:after="80" w:before="280"/>
      </w:pPr>
      <w:r>
        <w:rPr>
          <w:rFonts w:ascii="Arial" w:cs="Arial" w:eastAsia="Arial" w:hAnsi="Arial"/>
          <w:b/>
          <w:bCs/>
          <w:sz w:val="24"/>
          <w:szCs w:val="24"/>
        </w:rPr>
        <w:t xml:space="preserve">2.8  —  AI Reply Classification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When a reply is detected, Claude Haiku classifies the reply intent into one of six categories so users know what each prospect said without reading every email.</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reply text is extracted from the Gmail thread and sent to Claude Haiku with a classification prompt. The model returns exactly one category: INTERESTED, NOT_INTERESTED, OOO (out of office), REFERRAL, UNSUBSCRIBE, or OTHER. The intent and a 300-character reply snippet are stored on the CampaignLead record. If Claude is unavailable, the system degrades gracefully and stores OTHER.</w:t>
      </w:r>
    </w:p>
    <w:p>
      <w:pPr>
        <w:pStyle w:val="Heading1"/>
        <w:pageBreakBefore/>
      </w:pPr>
      <w:r>
        <w:rPr>
          <w:rFonts w:ascii="Arial" w:cs="Arial" w:eastAsia="Arial" w:hAnsi="Arial"/>
          <w:b/>
          <w:bCs/>
          <w:sz w:val="28"/>
          <w:szCs w:val="28"/>
        </w:rPr>
        <w:t xml:space="preserve">3.  Deliverability &amp; Compliance</w:t>
      </w:r>
    </w:p>
    <w:p>
      <w:pPr>
        <w:pBdr>
          <w:bottom w:val="single" w:color="CCCCCC" w:sz="4" w:space="4"/>
        </w:pBdr>
        <w:spacing w:after="80" w:before="280"/>
      </w:pPr>
      <w:r>
        <w:rPr>
          <w:rFonts w:ascii="Arial" w:cs="Arial" w:eastAsia="Arial" w:hAnsi="Arial"/>
          <w:b/>
          <w:bCs/>
          <w:sz w:val="24"/>
          <w:szCs w:val="24"/>
        </w:rPr>
        <w:t xml:space="preserve">3.1  —  Email Open Tracking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Embeds a 1x1 transparent tracking pixel in every outreach email to detect when a prospect opens it, without requiring any action from the prospect.</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an HTML email is built, a unique tracking URL is embedded as an invisible image. When the email client loads the image, the server records the open event — setting status to OPENED on first open, recording the timestamp, and incrementing an open counter. The pixel returns a valid 1x1 GIF with Cache-Control: no-store so clients always fetch it fresh.</w:t>
      </w:r>
    </w:p>
    <w:p>
      <w:pPr>
        <w:pBdr>
          <w:bottom w:val="single" w:color="CCCCCC" w:sz="4" w:space="4"/>
        </w:pBdr>
        <w:spacing w:after="80" w:before="280"/>
      </w:pPr>
      <w:r>
        <w:rPr>
          <w:rFonts w:ascii="Arial" w:cs="Arial" w:eastAsia="Arial" w:hAnsi="Arial"/>
          <w:b/>
          <w:bCs/>
          <w:sz w:val="24"/>
          <w:szCs w:val="24"/>
        </w:rPr>
        <w:t xml:space="preserve">3.2  —  Unsubscribe Link &amp; Suppression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Every outreach email includes a one-click unsubscribe link. Clicking it permanently adds the email address to the organization's suppression list.</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Each email contains a unique HMAC-SHA256 signed unsubscribe URL. When clicked, the server verifies the token signature, atomically marks the CampaignLead as UNSUBSCRIBED, and upserts the email into the SuppressedEmail table. Future emails to that address are blocked before send, even in new campaigns. The unsubscribe page returns a branded HTML confirmation rather than a raw JSON response.</w:t>
      </w:r>
    </w:p>
    <w:p>
      <w:pPr>
        <w:pBdr>
          <w:bottom w:val="single" w:color="CCCCCC" w:sz="4" w:space="4"/>
        </w:pBdr>
        <w:spacing w:after="80" w:before="280"/>
      </w:pPr>
      <w:r>
        <w:rPr>
          <w:rFonts w:ascii="Arial" w:cs="Arial" w:eastAsia="Arial" w:hAnsi="Arial"/>
          <w:b/>
          <w:bCs/>
          <w:sz w:val="24"/>
          <w:szCs w:val="24"/>
        </w:rPr>
        <w:t xml:space="preserve">3.3  —  Bounce Detection &amp; Hard Bounce Suppression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Classifies Gmail send failures as HARD, SOFT, or SPAM bounces, and automatically adds hard-bounced addresses to the suppression list to protect sender reputation.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Every email send is wrapped in error handling. If the Gmail API throws an error, the error message is scanned for SMTP codes and keywords: 550/551/553 or user-unknown patterns become a HARD bounce; spam or blocked signals become SPAM; everything else is SOFT. Hard bounces are added to the suppression list and also fire a bounce.detected webhook event. Soft bounces are recorded but not suppressed.</w:t>
      </w:r>
    </w:p>
    <w:p>
      <w:pPr>
        <w:pBdr>
          <w:bottom w:val="single" w:color="CCCCCC" w:sz="4" w:space="4"/>
        </w:pBdr>
        <w:spacing w:after="80" w:before="280"/>
      </w:pPr>
      <w:r>
        <w:rPr>
          <w:rFonts w:ascii="Arial" w:cs="Arial" w:eastAsia="Arial" w:hAnsi="Arial"/>
          <w:b/>
          <w:bCs/>
          <w:sz w:val="24"/>
          <w:szCs w:val="24"/>
        </w:rPr>
        <w:t xml:space="preserve">3.4  —  Email Suppression List</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An organization-scoped list of email addresses permanently blocked from receiving outreach — populated automatically by unsubscribes and hard bounces, or added manually.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SuppressedEmail table stores email and reason (unsubscribed, bounced, or manual) per organization. Before every email send, the processor queries this table. If the address is found, the send is skipped and the CampaignLead is marked UNSUBSCRIBED. The suppression check runs on initial sends and all follow-up steps, so suppressed addresses can never be emailed regardless of which campaign they are in.</w:t>
      </w:r>
    </w:p>
    <w:p>
      <w:pPr>
        <w:pBdr>
          <w:bottom w:val="single" w:color="CCCCCC" w:sz="4" w:space="4"/>
        </w:pBdr>
        <w:spacing w:after="80" w:before="280"/>
      </w:pPr>
      <w:r>
        <w:rPr>
          <w:rFonts w:ascii="Arial" w:cs="Arial" w:eastAsia="Arial" w:hAnsi="Arial"/>
          <w:b/>
          <w:bCs/>
          <w:sz w:val="24"/>
          <w:szCs w:val="24"/>
        </w:rPr>
        <w:t xml:space="preserve">3.5  —  Timezone-Aware Send Scheduling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Ensures emails are only sent during business hours (08:00-18:00) in the prospect's local timezone — improving open rates and respecting recipients.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Each Lead record stores an optional IANA timezone string such as Asia/Kolkata or America/New_York. A library of 50+ country-to-timezone mappings resolves the timezone when not explicitly set. The follow-up scheduler pre-filters leads outside their local send window, skipping them for reconsideration on the next cron run. The email processor also throws an error for out-of-window sends, causing BullMQ to retry at the correct time.</w:t>
      </w:r>
    </w:p>
    <w:p>
      <w:pPr>
        <w:pStyle w:val="Heading1"/>
        <w:pageBreakBefore/>
      </w:pPr>
      <w:r>
        <w:rPr>
          <w:rFonts w:ascii="Arial" w:cs="Arial" w:eastAsia="Arial" w:hAnsi="Arial"/>
          <w:b/>
          <w:bCs/>
          <w:sz w:val="28"/>
          <w:szCs w:val="28"/>
        </w:rPr>
        <w:t xml:space="preserve">4.  Integrations</w:t>
      </w:r>
    </w:p>
    <w:p>
      <w:pPr>
        <w:pBdr>
          <w:bottom w:val="single" w:color="CCCCCC" w:sz="4" w:space="4"/>
        </w:pBdr>
        <w:spacing w:after="80" w:before="280"/>
      </w:pPr>
      <w:r>
        <w:rPr>
          <w:rFonts w:ascii="Arial" w:cs="Arial" w:eastAsia="Arial" w:hAnsi="Arial"/>
          <w:b/>
          <w:bCs/>
          <w:sz w:val="24"/>
          <w:szCs w:val="24"/>
        </w:rPr>
        <w:t xml:space="preserve">4.1  —  Claude AI (BYOK — Bring Your Own Key)</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Users connect their own Anthropic API key, which powers all 5 AI agents. Flowfiy never proxies Claude calls — costs go directly to the user's Anthropic account.</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user's API key is encrypted with AES-256-GCM and stored per organization. When any AI agent runs, Flowfiy decrypts the key and initializes a Claude client using it. This means Claude API costs appear directly in the user's Anthropic billing. Flowfiy only charges for platform access, enabling near-100% gross margins on the product.</w:t>
      </w:r>
    </w:p>
    <w:p>
      <w:pPr>
        <w:pBdr>
          <w:bottom w:val="single" w:color="CCCCCC" w:sz="4" w:space="4"/>
        </w:pBdr>
        <w:spacing w:after="80" w:before="280"/>
      </w:pPr>
      <w:r>
        <w:rPr>
          <w:rFonts w:ascii="Arial" w:cs="Arial" w:eastAsia="Arial" w:hAnsi="Arial"/>
          <w:b/>
          <w:bCs/>
          <w:sz w:val="24"/>
          <w:szCs w:val="24"/>
        </w:rPr>
        <w:t xml:space="preserve">4.2  —  Gmail Integration (OAuth 2.0)</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Connects a user's Gmail account via Google OAuth so Flowfiy can send outreach emails directly from their own inbox, not from a shared sending domain.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 initiates a Google OAuth 2.0 flow requesting gmail.send and gmail.readonly scopes. The returned refresh token is encrypted and stored. Every email send decrypts this token, exchanges it for a short-lived access token, and calls the Gmail API to send the message. All emails appear to come from the user's real Gmail address with full threading support.</w:t>
      </w:r>
    </w:p>
    <w:p>
      <w:pPr>
        <w:pBdr>
          <w:bottom w:val="single" w:color="CCCCCC" w:sz="4" w:space="4"/>
        </w:pBdr>
        <w:spacing w:after="80" w:before="280"/>
      </w:pPr>
      <w:r>
        <w:rPr>
          <w:rFonts w:ascii="Arial" w:cs="Arial" w:eastAsia="Arial" w:hAnsi="Arial"/>
          <w:b/>
          <w:bCs/>
          <w:sz w:val="24"/>
          <w:szCs w:val="24"/>
        </w:rPr>
        <w:t xml:space="preserve">4.3  —  Apollo.io Integration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Connects Apollo.io to enable automated lead discovery from its 275M+ contact database based on ICP-derived search parameters.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 provides their Apollo API key, which is validated by making a test search call. The key is encrypted and stored. During lead generation, the ICP Analyzer generates search parameters that are passed to the Apollo people-search and mixed-people-search API endpoints. Results include contact details, company data, and LinkedIn URLs, all of which are stored as raw lead records.</w:t>
      </w:r>
    </w:p>
    <w:p>
      <w:pPr>
        <w:pBdr>
          <w:bottom w:val="single" w:color="CCCCCC" w:sz="4" w:space="4"/>
        </w:pBdr>
        <w:spacing w:after="80" w:before="280"/>
      </w:pPr>
      <w:r>
        <w:rPr>
          <w:rFonts w:ascii="Arial" w:cs="Arial" w:eastAsia="Arial" w:hAnsi="Arial"/>
          <w:b/>
          <w:bCs/>
          <w:sz w:val="24"/>
          <w:szCs w:val="24"/>
        </w:rPr>
        <w:t xml:space="preserve">4.4  —  Apify Integration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Connects Apify for automated web scraping of company websites to gather live intelligence that feeds the Company Analyzer agent.</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 provides their Apify API token. During the pipeline, the Company Analyzer agent triggers Apify actors for each lead's company URL. The scraped content — homepage text, about page, services, team size signals — is returned to Claude for analysis. Multiple actors can be chained for richer data coverage.</w:t>
      </w:r>
    </w:p>
    <w:p>
      <w:pPr>
        <w:pBdr>
          <w:bottom w:val="single" w:color="CCCCCC" w:sz="4" w:space="4"/>
        </w:pBdr>
        <w:spacing w:after="80" w:before="280"/>
      </w:pPr>
      <w:r>
        <w:rPr>
          <w:rFonts w:ascii="Arial" w:cs="Arial" w:eastAsia="Arial" w:hAnsi="Arial"/>
          <w:b/>
          <w:bCs/>
          <w:sz w:val="24"/>
          <w:szCs w:val="24"/>
        </w:rPr>
        <w:t xml:space="preserve">4.5  —  Calendly Integration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Auto-inserts the user's Calendly scheduling link into every personalized outreach email so prospects can book a meeting in one click.</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user connects their Calendly account and selects an event type. The Calendly link is stored on the campaign settings. When the Personalization Agent writes emails, it receives the link in its system prompt and weaves it naturally into the call-to-action. No separate calendar management is needed — Calendly handles availability and booking entirely.</w:t>
      </w:r>
    </w:p>
    <w:p>
      <w:pPr>
        <w:pBdr>
          <w:bottom w:val="single" w:color="CCCCCC" w:sz="4" w:space="4"/>
        </w:pBdr>
        <w:spacing w:after="80" w:before="280"/>
      </w:pPr>
      <w:r>
        <w:rPr>
          <w:rFonts w:ascii="Arial" w:cs="Arial" w:eastAsia="Arial" w:hAnsi="Arial"/>
          <w:b/>
          <w:bCs/>
          <w:sz w:val="24"/>
          <w:szCs w:val="24"/>
        </w:rPr>
        <w:t xml:space="preserve">4.6  —  Outgoing Webhooks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Sends real-time signed HTTP POST notifications to any external URL (Zapier, Make, custom CRM) when key events happen in Flowfiy.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Users create webhook endpoints by specifying a URL and which events to subscribe to. When a subscribed event fires — lead.qualified, reply.received, bounce.detected, unsubscribe.received — Flowfiy POSTs a JSON payload signed with HMAC-SHA256 to the endpoint. The signature travels in the X-Flowfiy-Signature header so receiving systems can verify authenticity. Endpoints that fail 10 consecutive deliveries are automatically disabled.</w:t>
      </w:r>
    </w:p>
    <w:p>
      <w:pPr>
        <w:pStyle w:val="Heading1"/>
        <w:pageBreakBefore/>
      </w:pPr>
      <w:r>
        <w:rPr>
          <w:rFonts w:ascii="Arial" w:cs="Arial" w:eastAsia="Arial" w:hAnsi="Arial"/>
          <w:b/>
          <w:bCs/>
          <w:sz w:val="28"/>
          <w:szCs w:val="28"/>
        </w:rPr>
        <w:t xml:space="preserve">5.  Billing &amp; Subscriptions</w:t>
      </w:r>
    </w:p>
    <w:p>
      <w:pPr>
        <w:pBdr>
          <w:bottom w:val="single" w:color="CCCCCC" w:sz="4" w:space="4"/>
        </w:pBdr>
        <w:spacing w:after="80" w:before="280"/>
      </w:pPr>
      <w:r>
        <w:rPr>
          <w:rFonts w:ascii="Arial" w:cs="Arial" w:eastAsia="Arial" w:hAnsi="Arial"/>
          <w:b/>
          <w:bCs/>
          <w:sz w:val="24"/>
          <w:szCs w:val="24"/>
        </w:rPr>
        <w:t xml:space="preserve">5.1  —  Razorpay Billing (India)</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Handles subscription billing for Indian users in INR using Razorpay's subscription API — the default gateway for IN-country users.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an Indian user upgrades, the server calls Razorpay to create a subscription and returns the subscription ID and API key to the frontend. The Razorpay.js modal opens in the browser for payment. On success, Razorpay sends a webhook that verifies the HMAC signature, updates the organization's plan and generation limit, and creates an audit log entry.</w:t>
      </w:r>
    </w:p>
    <w:p>
      <w:pPr>
        <w:pBdr>
          <w:bottom w:val="single" w:color="CCCCCC" w:sz="4" w:space="4"/>
        </w:pBdr>
        <w:spacing w:after="80" w:before="280"/>
      </w:pPr>
      <w:r>
        <w:rPr>
          <w:rFonts w:ascii="Arial" w:cs="Arial" w:eastAsia="Arial" w:hAnsi="Arial"/>
          <w:b/>
          <w:bCs/>
          <w:sz w:val="24"/>
          <w:szCs w:val="24"/>
        </w:rPr>
        <w:t xml:space="preserve">5.2  —  Stripe Billing (International)</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Handles subscription billing for users outside India in USD using Stripe Checkout — automatically selected based on the user's detected country.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Non-Indian users are routed to Stripe. The server creates a Stripe Checkout Session with metadata linking it to the organization and plan, then redirects the user to Stripe's hosted payment page. Stripe sends lifecycle events to the stripe-webhook endpoint: checkout.session.completed activates the plan, invoice.payment_succeeded marks renewal, and customer.subscription.deleted reverts the org to the FREE plan.</w:t>
      </w:r>
    </w:p>
    <w:p>
      <w:pPr>
        <w:pBdr>
          <w:bottom w:val="single" w:color="CCCCCC" w:sz="4" w:space="4"/>
        </w:pBdr>
        <w:spacing w:after="80" w:before="280"/>
      </w:pPr>
      <w:r>
        <w:rPr>
          <w:rFonts w:ascii="Arial" w:cs="Arial" w:eastAsia="Arial" w:hAnsi="Arial"/>
          <w:b/>
          <w:bCs/>
          <w:sz w:val="24"/>
          <w:szCs w:val="24"/>
        </w:rPr>
        <w:t xml:space="preserve">5.3  —  Geo-Based Currency Display</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Detects the user's country from their IP address and displays pricing in their local currency on the landing page and billing page.</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/api/geo endpoint reads the x-vercel-ip-country header injected by Vercel's edge network (no external API call needed) and returns the user's country code with the mapped currency — INR, USD, AED, GBP, EUR, SGD, and more. The pricing section converts plan prices from an INR base using exchange rates and displays formatted local prices, such as $59/mo or AED 217/mo for international visitors.</w:t>
      </w:r>
    </w:p>
    <w:p>
      <w:pPr>
        <w:pBdr>
          <w:bottom w:val="single" w:color="CCCCCC" w:sz="4" w:space="4"/>
        </w:pBdr>
        <w:spacing w:after="80" w:before="280"/>
      </w:pPr>
      <w:r>
        <w:rPr>
          <w:rFonts w:ascii="Arial" w:cs="Arial" w:eastAsia="Arial" w:hAnsi="Arial"/>
          <w:b/>
          <w:bCs/>
          <w:sz w:val="24"/>
          <w:szCs w:val="24"/>
        </w:rPr>
        <w:t xml:space="preserve">5.4  —  Usage Tracking &amp; Generation Limits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Tracks how many lead generation runs each organization has consumed against their plan's monthly limit — enforced before every pipeline run.</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Each lead generation job increments the organization's generationCount in the database. Before starting a new job, the system checks generationCount against generationLimit. If at or over the limit, the job is rejected with a 402 response. The limit resets monthly and is updated when a user upgrades. Usage is visible on the dashboard and billing page as a progress bar with a remaining count.</w:t>
      </w:r>
    </w:p>
    <w:p>
      <w:pPr>
        <w:pBdr>
          <w:bottom w:val="single" w:color="CCCCCC" w:sz="4" w:space="4"/>
        </w:pBdr>
        <w:spacing w:after="80" w:before="280"/>
      </w:pPr>
      <w:r>
        <w:rPr>
          <w:rFonts w:ascii="Arial" w:cs="Arial" w:eastAsia="Arial" w:hAnsi="Arial"/>
          <w:b/>
          <w:bCs/>
          <w:sz w:val="24"/>
          <w:szCs w:val="24"/>
        </w:rPr>
        <w:t xml:space="preserve">5.5  —  Billing Portal &amp; Cancellation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Allows users to manage or cancel their subscription directly from the Flowfiy dashboard, routing to Razorpay or Stripe depending on their billing gateway.</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billing portal endpoint checks the organization's billingGateway field. For Razorpay users, it calls the cancel subscription API and sets status to pending_cancellation so the plan remains active until the period ends. For Stripe users, it creates a Stripe Billing Portal Session and returns the portal URL — Stripe's hosted interface then handles cancellation, payment method updates, and invoice history.</w:t>
      </w:r>
    </w:p>
    <w:p>
      <w:pPr>
        <w:pStyle w:val="Heading1"/>
        <w:pageBreakBefore/>
      </w:pPr>
      <w:r>
        <w:rPr>
          <w:rFonts w:ascii="Arial" w:cs="Arial" w:eastAsia="Arial" w:hAnsi="Arial"/>
          <w:b/>
          <w:bCs/>
          <w:sz w:val="28"/>
          <w:szCs w:val="28"/>
        </w:rPr>
        <w:t xml:space="preserve">6.  Platform Infrastructure</w:t>
      </w:r>
    </w:p>
    <w:p>
      <w:pPr>
        <w:pBdr>
          <w:bottom w:val="single" w:color="CCCCCC" w:sz="4" w:space="4"/>
        </w:pBdr>
        <w:spacing w:after="80" w:before="280"/>
      </w:pPr>
      <w:r>
        <w:rPr>
          <w:rFonts w:ascii="Arial" w:cs="Arial" w:eastAsia="Arial" w:hAnsi="Arial"/>
          <w:b/>
          <w:bCs/>
          <w:sz w:val="24"/>
          <w:szCs w:val="24"/>
        </w:rPr>
        <w:t xml:space="preserve">6.1  —  Multi-Tenant Organization System</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Every user belongs to one or more organizations. All data — leads, campaigns, integrations, billing — is scoped to the organization, not the individual user.</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Organization model is the root tenant. Every database table includes an organizationId foreign key. API routes verify organization membership before any data access. A user can belong to multiple organizations, for example an agency managing multiple client accounts. Role-based access (OWNER, ADMIN, MEMBER) controls what actions each member can perform.</w:t>
      </w:r>
    </w:p>
    <w:p>
      <w:pPr>
        <w:pBdr>
          <w:bottom w:val="single" w:color="CCCCCC" w:sz="4" w:space="4"/>
        </w:pBdr>
        <w:spacing w:after="80" w:before="280"/>
      </w:pPr>
      <w:r>
        <w:rPr>
          <w:rFonts w:ascii="Arial" w:cs="Arial" w:eastAsia="Arial" w:hAnsi="Arial"/>
          <w:b/>
          <w:bCs/>
          <w:sz w:val="24"/>
          <w:szCs w:val="24"/>
        </w:rPr>
        <w:t xml:space="preserve">6.2  —  AES-256-GCM Credential Encryption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All API keys and OAuth tokens stored in the database are encrypted at rest using AES-256-GCM so that a database breach never exposes user credentials.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An ENCRYPTION_KEY environment variable (a 32-byte hex secret) is used as the encryption key. Every integration credential object is serialized to JSON, then encrypted using Node.js's crypto module with a random 12-byte IV. The encrypted payload is stored in the encryptedCredentials column. Decryption happens in memory at runtime and the plaintext key is never persisted anywhere.</w:t>
      </w:r>
    </w:p>
    <w:p>
      <w:pPr>
        <w:pBdr>
          <w:bottom w:val="single" w:color="CCCCCC" w:sz="4" w:space="4"/>
        </w:pBdr>
        <w:spacing w:after="80" w:before="280"/>
      </w:pPr>
      <w:r>
        <w:rPr>
          <w:rFonts w:ascii="Arial" w:cs="Arial" w:eastAsia="Arial" w:hAnsi="Arial"/>
          <w:b/>
          <w:bCs/>
          <w:sz w:val="24"/>
          <w:szCs w:val="24"/>
        </w:rPr>
        <w:t xml:space="preserve">6.3  —  BullMQ Job Queue (Async Processing)</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All email sends and lead generation pipeline runs are processed asynchronously via BullMQ, backed by Upstash Redis — decoupling request handling from heavy processing.</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When a campaign launches, email jobs are enqueued in the email-send queue. When a lead list is created, a lead-generation-pipeline job is enqueued. A Worker process running on Railway consumes these queues and processes jobs with retry logic — exponential backoff for pipeline jobs and fixed delay for email sends. API endpoints return immediately while heavy work happens in the background.</w:t>
      </w:r>
    </w:p>
    <w:p>
      <w:pPr>
        <w:pBdr>
          <w:bottom w:val="single" w:color="CCCCCC" w:sz="4" w:space="4"/>
        </w:pBdr>
        <w:spacing w:after="80" w:before="280"/>
      </w:pPr>
      <w:r>
        <w:rPr>
          <w:rFonts w:ascii="Arial" w:cs="Arial" w:eastAsia="Arial" w:hAnsi="Arial"/>
          <w:b/>
          <w:bCs/>
          <w:sz w:val="24"/>
          <w:szCs w:val="24"/>
        </w:rPr>
        <w:t xml:space="preserve">6.4  —  Follow-Up Scheduler (Vercel Cron)</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 scheduled cron job that runs daily at 09:00 UTC to detect replies and queue all follow-up emails that are now due across all active campaigns.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Vercel Cron triggers the process-followups endpoint once per day. This calls the scheduler processor which: first polls Gmail threads for replies across all active campaigns, then classifies any new replies with Claude Haiku, then queries the database for all leads where follow-up thresholds have elapsed, and finally enqueues the appropriate email jobs. Timezone filtering skips leads outside their local business hours window.</w:t>
      </w:r>
    </w:p>
    <w:p>
      <w:pPr>
        <w:pBdr>
          <w:bottom w:val="single" w:color="CCCCCC" w:sz="4" w:space="4"/>
        </w:pBdr>
        <w:spacing w:after="80" w:before="280"/>
      </w:pPr>
      <w:r>
        <w:rPr>
          <w:rFonts w:ascii="Arial" w:cs="Arial" w:eastAsia="Arial" w:hAnsi="Arial"/>
          <w:b/>
          <w:bCs/>
          <w:sz w:val="24"/>
          <w:szCs w:val="24"/>
        </w:rPr>
        <w:t xml:space="preserve">6.5  —  Real-Time Job Logs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Streams live progress logs from the AI pipeline back to the user's browser so they can see exactly what each agent is doing in real time.</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lead generation processor writes structured log entries (message, level, timestamp) to a Redis key scoped to the leadListId as each pipeline step completes. The frontend polls the logs endpoint to fetch the latest entries and renders them as a live activity feed. Log entries are categorized as info, success, error, or tool — the last showing which Claude tool was called.</w:t>
      </w:r>
    </w:p>
    <w:p>
      <w:pPr>
        <w:pBdr>
          <w:bottom w:val="single" w:color="CCCCCC" w:sz="4" w:space="4"/>
        </w:pBdr>
        <w:spacing w:after="80" w:before="280"/>
      </w:pPr>
      <w:r>
        <w:rPr>
          <w:rFonts w:ascii="Arial" w:cs="Arial" w:eastAsia="Arial" w:hAnsi="Arial"/>
          <w:b/>
          <w:bCs/>
          <w:sz w:val="24"/>
          <w:szCs w:val="24"/>
        </w:rPr>
        <w:t xml:space="preserve">6.6  —  Audit Logs</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Records every significant action in the system — billing changes, plan upgrades, cancellations — with actor, action, resource, and metadata for compliance and debugging.</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createAuditLog() helper writes to the AuditLog table whenever a billing event or significant platform action occurs. Each record stores organizationId, userId if user-initiated, action string, resourceType and resourceId, and a JSON metadata blob. Audit logs are append-only and never deleted, providing a permanent audit trail.</w:t>
      </w:r>
    </w:p>
    <w:p>
      <w:pPr>
        <w:pBdr>
          <w:bottom w:val="single" w:color="CCCCCC" w:sz="4" w:space="4"/>
        </w:pBdr>
        <w:spacing w:after="80" w:before="280"/>
      </w:pPr>
      <w:r>
        <w:rPr>
          <w:rFonts w:ascii="Arial" w:cs="Arial" w:eastAsia="Arial" w:hAnsi="Arial"/>
          <w:b/>
          <w:bCs/>
          <w:sz w:val="24"/>
          <w:szCs w:val="24"/>
        </w:rPr>
        <w:t xml:space="preserve">6.7  —  Admin Panel</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An internal admin interface for Flowfiy operators to view all organizations, manage plans, reset usage, and debug platform-level issues.</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Admin routes under /api/admin/ are protected by a separate authentication layer using a server-side session cookie. Admin login requires a distinct ADMIN_PASSWORD environment variable. Admins can view organization details, manually adjust plans and generation limits, and reset monthly usage counts — all without needing direct database access.</w:t>
      </w:r>
    </w:p>
    <w:p>
      <w:pPr>
        <w:pBdr>
          <w:bottom w:val="single" w:color="CCCCCC" w:sz="4" w:space="4"/>
        </w:pBdr>
        <w:spacing w:after="80" w:before="280"/>
      </w:pPr>
      <w:r>
        <w:rPr>
          <w:rFonts w:ascii="Arial" w:cs="Arial" w:eastAsia="Arial" w:hAnsi="Arial"/>
          <w:b/>
          <w:bCs/>
          <w:sz w:val="24"/>
          <w:szCs w:val="24"/>
        </w:rPr>
        <w:t xml:space="preserve">6.8  —  Lead Export (CSV)</w:t>
      </w:r>
    </w:p>
    <w:p>
      <w:pPr>
        <w:spacing w:after="60" w:before="120"/>
      </w:pPr>
      <w:r>
        <w:rPr>
          <w:rFonts w:ascii="Arial" w:cs="Arial" w:eastAsia="Arial" w:hAnsi="Arial"/>
          <w:b/>
          <w:bCs/>
          <w:sz w:val="22"/>
          <w:szCs w:val="22"/>
        </w:rPr>
        <w:t xml:space="preserve">Definition:  </w:t>
      </w:r>
      <w:r>
        <w:rPr>
          <w:rFonts w:ascii="Arial" w:cs="Arial" w:eastAsia="Arial" w:hAnsi="Arial"/>
          <w:sz w:val="22"/>
          <w:szCs w:val="22"/>
        </w:rPr>
        <w:t xml:space="preserve">Exports the complete lead list — including research data, qualification scores, and outreach copy — as a downloadable CSV file.</w:t>
      </w:r>
    </w:p>
    <w:p>
      <w:pPr>
        <w:spacing w:after="160" w:before="60"/>
      </w:pPr>
      <w:r>
        <w:rPr>
          <w:rFonts w:ascii="Arial" w:cs="Arial" w:eastAsia="Arial" w:hAnsi="Arial"/>
          <w:b/>
          <w:bCs/>
          <w:sz w:val="22"/>
          <w:szCs w:val="22"/>
        </w:rPr>
        <w:t xml:space="preserve">How It Works:  </w:t>
      </w:r>
      <w:r>
        <w:rPr>
          <w:rFonts w:ascii="Arial" w:cs="Arial" w:eastAsia="Arial" w:hAnsi="Arial"/>
          <w:color w:val="333333"/>
          <w:sz w:val="22"/>
          <w:szCs w:val="22"/>
        </w:rPr>
        <w:t xml:space="preserve">The export endpoint queries all leads with their research and outreach copy, then builds a CSV string with columns including name, email, title, company, industry, status, score, opportunity angle, pain point match, personalization notes, subject line, and email body. The response is delivered with a Content-Disposition: attachment header so the browser downloads it directly.</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Flowfiy Platform Documentation  |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1111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2026-05-19T22:04:37.863Z</dcterms:created>
  <dcterms:modified xsi:type="dcterms:W3CDTF">2026-05-19T22:04:37.864Z</dcterms:modified>
</cp:coreProperties>
</file>

<file path=docProps/custom.xml><?xml version="1.0" encoding="utf-8"?>
<Properties xmlns="http://schemas.openxmlformats.org/officeDocument/2006/custom-properties" xmlns:vt="http://schemas.openxmlformats.org/officeDocument/2006/docPropsVTypes"/>
</file>