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706E" w14:textId="0986E5BC" w:rsidR="008A4F96" w:rsidRDefault="008A4F96" w:rsidP="003B751F">
      <w:pPr>
        <w:pStyle w:val="Caption"/>
        <w:jc w:val="left"/>
        <w:rPr>
          <w:rFonts w:ascii="Times New Roman" w:hAnsi="Times New Roman" w:cs="Times New Roman"/>
          <w:sz w:val="24"/>
          <w:szCs w:val="20"/>
        </w:rPr>
      </w:pPr>
      <w:bookmarkStart w:id="0" w:name="_Ref213048621"/>
      <w:r>
        <w:rPr>
          <w:rFonts w:ascii="Times New Roman" w:hAnsi="Times New Roman" w:cs="Times New Roman"/>
          <w:sz w:val="24"/>
          <w:szCs w:val="20"/>
        </w:rPr>
        <w:t>List of Figures for the Manuscript</w:t>
      </w:r>
    </w:p>
    <w:p w14:paraId="7D2BEB2D" w14:textId="77777777" w:rsidR="008A4F96" w:rsidRDefault="008A4F96" w:rsidP="003B751F">
      <w:pPr>
        <w:pStyle w:val="Caption"/>
        <w:jc w:val="left"/>
        <w:rPr>
          <w:rFonts w:ascii="Times New Roman" w:hAnsi="Times New Roman" w:cs="Times New Roman"/>
          <w:sz w:val="24"/>
          <w:szCs w:val="20"/>
        </w:rPr>
      </w:pPr>
    </w:p>
    <w:p w14:paraId="5B7ADCD8" w14:textId="4E13B34E" w:rsidR="00AC1D82" w:rsidRPr="008A4F96" w:rsidRDefault="00AC1D82" w:rsidP="003B751F">
      <w:pPr>
        <w:pStyle w:val="Caption"/>
        <w:jc w:val="left"/>
        <w:rPr>
          <w:rFonts w:ascii="Times New Roman" w:hAnsi="Times New Roman" w:cs="Times New Roman"/>
          <w:i/>
          <w:iCs w:val="0"/>
          <w:color w:val="0D0D0D" w:themeColor="text1" w:themeTint="F2"/>
          <w:sz w:val="24"/>
          <w:szCs w:val="24"/>
        </w:rPr>
      </w:pPr>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1</w:t>
      </w:r>
      <w:r w:rsidRPr="008A4F96">
        <w:rPr>
          <w:rFonts w:ascii="Times New Roman" w:hAnsi="Times New Roman" w:cs="Times New Roman"/>
          <w:noProof/>
          <w:sz w:val="24"/>
          <w:szCs w:val="20"/>
        </w:rPr>
        <w:fldChar w:fldCharType="end"/>
      </w:r>
      <w:bookmarkEnd w:id="0"/>
      <w:r w:rsidRPr="008A4F96">
        <w:rPr>
          <w:rFonts w:ascii="Times New Roman" w:hAnsi="Times New Roman" w:cs="Times New Roman"/>
          <w:sz w:val="24"/>
          <w:szCs w:val="20"/>
        </w:rPr>
        <w:t xml:space="preserve">. 3D Structure of the Target Protein. </w:t>
      </w:r>
      <w:r w:rsidRPr="008A4F96">
        <w:rPr>
          <w:rFonts w:ascii="Times New Roman" w:hAnsi="Times New Roman" w:cs="Times New Roman"/>
          <w:b w:val="0"/>
          <w:bCs/>
          <w:i/>
          <w:iCs w:val="0"/>
          <w:sz w:val="24"/>
          <w:szCs w:val="20"/>
        </w:rPr>
        <w:t>The 3D ribbon structure of the Listeria monocytogenes Internalin H N-terminal domain (PDB ID: 1H6U). The putative binding pocket identified through blind docking is highlighted in the surface representation.</w:t>
      </w:r>
    </w:p>
    <w:p w14:paraId="72D877A2" w14:textId="7190A7B5" w:rsidR="0093043C" w:rsidRPr="008A4F96" w:rsidRDefault="0093043C" w:rsidP="003B751F">
      <w:pPr>
        <w:pStyle w:val="Caption"/>
        <w:jc w:val="left"/>
        <w:rPr>
          <w:rFonts w:ascii="Times New Roman" w:hAnsi="Times New Roman" w:cs="Times New Roman"/>
          <w:i/>
          <w:iCs w:val="0"/>
          <w:sz w:val="24"/>
          <w:szCs w:val="24"/>
        </w:rPr>
      </w:pPr>
      <w:bookmarkStart w:id="1" w:name="_Ref213060310"/>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2</w:t>
      </w:r>
      <w:r w:rsidRPr="008A4F96">
        <w:rPr>
          <w:rFonts w:ascii="Times New Roman" w:hAnsi="Times New Roman" w:cs="Times New Roman"/>
          <w:noProof/>
          <w:sz w:val="24"/>
          <w:szCs w:val="20"/>
        </w:rPr>
        <w:fldChar w:fldCharType="end"/>
      </w:r>
      <w:bookmarkEnd w:id="1"/>
      <w:r w:rsidRPr="008A4F96">
        <w:rPr>
          <w:rFonts w:ascii="Times New Roman" w:hAnsi="Times New Roman" w:cs="Times New Roman"/>
          <w:sz w:val="24"/>
          <w:szCs w:val="20"/>
        </w:rPr>
        <w:t>. Chemical Structures of the Seven Initial Lead Compounds</w:t>
      </w:r>
      <w:r w:rsidRPr="008A4F96">
        <w:rPr>
          <w:rFonts w:ascii="Times New Roman" w:hAnsi="Times New Roman" w:cs="Times New Roman"/>
          <w:i/>
          <w:iCs w:val="0"/>
          <w:sz w:val="24"/>
          <w:szCs w:val="20"/>
        </w:rPr>
        <w:t>.</w:t>
      </w:r>
      <w:r w:rsidRPr="008A4F96">
        <w:rPr>
          <w:rFonts w:ascii="Times New Roman" w:hAnsi="Times New Roman" w:cs="Times New Roman"/>
          <w:b w:val="0"/>
          <w:bCs/>
          <w:i/>
          <w:iCs w:val="0"/>
          <w:sz w:val="24"/>
          <w:szCs w:val="20"/>
        </w:rPr>
        <w:t xml:space="preserve"> 3D structures of the seven biologically active compounds used for the initial </w:t>
      </w:r>
      <w:proofErr w:type="spellStart"/>
      <w:r w:rsidRPr="008A4F96">
        <w:rPr>
          <w:rFonts w:ascii="Times New Roman" w:hAnsi="Times New Roman" w:cs="Times New Roman"/>
          <w:b w:val="0"/>
          <w:bCs/>
          <w:i/>
          <w:iCs w:val="0"/>
          <w:sz w:val="24"/>
          <w:szCs w:val="20"/>
        </w:rPr>
        <w:t>AutoDock</w:t>
      </w:r>
      <w:proofErr w:type="spellEnd"/>
      <w:r w:rsidRPr="008A4F96">
        <w:rPr>
          <w:rFonts w:ascii="Times New Roman" w:hAnsi="Times New Roman" w:cs="Times New Roman"/>
          <w:b w:val="0"/>
          <w:bCs/>
          <w:i/>
          <w:iCs w:val="0"/>
          <w:sz w:val="24"/>
          <w:szCs w:val="20"/>
        </w:rPr>
        <w:t xml:space="preserve"> 4 screening. Oleanolic Acid, which had the top score, was selected as the control.</w:t>
      </w:r>
    </w:p>
    <w:p w14:paraId="2FD6CF57" w14:textId="1EC05F63" w:rsidR="00161FBC" w:rsidRPr="008A4F96" w:rsidRDefault="00E21F2A" w:rsidP="003B751F">
      <w:pPr>
        <w:pStyle w:val="Caption"/>
        <w:jc w:val="left"/>
        <w:rPr>
          <w:rFonts w:ascii="Times New Roman" w:hAnsi="Times New Roman" w:cs="Times New Roman"/>
          <w:b w:val="0"/>
          <w:bCs/>
          <w:i/>
          <w:color w:val="0D0D0D" w:themeColor="text1" w:themeTint="F2"/>
          <w:sz w:val="24"/>
          <w:szCs w:val="24"/>
        </w:rPr>
      </w:pPr>
      <w:r>
        <w:t xml:space="preserve">Figure </w:t>
      </w:r>
      <w:r>
        <w:fldChar w:fldCharType="begin"/>
      </w:r>
      <w:r>
        <w:instrText xml:space="preserve"> SEQ Figure \* ARABIC </w:instrText>
      </w:r>
      <w:r>
        <w:fldChar w:fldCharType="separate"/>
      </w:r>
      <w:r>
        <w:rPr>
          <w:noProof/>
        </w:rPr>
        <w:t>3</w:t>
      </w:r>
      <w:r>
        <w:rPr>
          <w:noProof/>
        </w:rPr>
        <w:fldChar w:fldCharType="end"/>
      </w:r>
      <w:r w:rsidRPr="008A4F96">
        <w:rPr>
          <w:rFonts w:ascii="Times New Roman" w:hAnsi="Times New Roman" w:cs="Times New Roman"/>
          <w:iCs w:val="0"/>
          <w:sz w:val="24"/>
          <w:szCs w:val="24"/>
        </w:rPr>
        <w:t xml:space="preserve">. Static Protein-Ligand Interaction Diagrams (PLIP).  </w:t>
      </w:r>
      <w:r>
        <w:rPr>
          <w:rFonts w:ascii="Times New Roman" w:hAnsi="Times New Roman" w:cs="Times New Roman"/>
          <w:b w:val="0"/>
          <w:bCs/>
          <w:i/>
          <w:sz w:val="24"/>
          <w:szCs w:val="24"/>
        </w:rPr>
        <w:t>3D</w:t>
      </w:r>
      <w:r w:rsidRPr="008A4F96">
        <w:rPr>
          <w:rFonts w:ascii="Times New Roman" w:hAnsi="Times New Roman" w:cs="Times New Roman"/>
          <w:b w:val="0"/>
          <w:bCs/>
          <w:i/>
          <w:sz w:val="24"/>
          <w:szCs w:val="24"/>
        </w:rPr>
        <w:t xml:space="preserve"> diagrams of the static (docked) interactions for the four lead candidates, generated by PLIP: (A) Hederagenin analogue, (B) </w:t>
      </w:r>
      <w:proofErr w:type="spellStart"/>
      <w:r w:rsidRPr="008A4F96">
        <w:rPr>
          <w:rFonts w:ascii="Times New Roman" w:hAnsi="Times New Roman" w:cs="Times New Roman"/>
          <w:b w:val="0"/>
          <w:bCs/>
          <w:i/>
          <w:sz w:val="24"/>
          <w:szCs w:val="24"/>
        </w:rPr>
        <w:t>Maslinic</w:t>
      </w:r>
      <w:proofErr w:type="spellEnd"/>
      <w:r w:rsidRPr="008A4F96">
        <w:rPr>
          <w:rFonts w:ascii="Times New Roman" w:hAnsi="Times New Roman" w:cs="Times New Roman"/>
          <w:b w:val="0"/>
          <w:bCs/>
          <w:i/>
          <w:sz w:val="24"/>
          <w:szCs w:val="24"/>
        </w:rPr>
        <w:t xml:space="preserve"> Acid analogue, (C) Oleanolic Acid (Control), and (D) Lupeol analogue, detailing the specific H-bonds and hydrophobic</w:t>
      </w:r>
      <w:r>
        <w:rPr>
          <w:rFonts w:ascii="Times New Roman" w:hAnsi="Times New Roman" w:cs="Times New Roman"/>
          <w:b w:val="0"/>
          <w:bCs/>
          <w:i/>
          <w:sz w:val="24"/>
          <w:szCs w:val="24"/>
        </w:rPr>
        <w:t xml:space="preserve"> </w:t>
      </w:r>
      <w:r w:rsidRPr="00AB13C1">
        <w:rPr>
          <w:rFonts w:ascii="Times New Roman" w:hAnsi="Times New Roman" w:cs="Times New Roman"/>
          <w:b w:val="0"/>
          <w:bCs/>
          <w:i/>
          <w:sz w:val="24"/>
          <w:szCs w:val="24"/>
        </w:rPr>
        <w:t>contacts</w:t>
      </w:r>
      <w:r>
        <w:rPr>
          <w:rFonts w:ascii="Times New Roman" w:hAnsi="Times New Roman" w:cs="Times New Roman"/>
          <w:b w:val="0"/>
          <w:bCs/>
          <w:i/>
          <w:sz w:val="24"/>
          <w:szCs w:val="24"/>
        </w:rPr>
        <w:t>.</w:t>
      </w:r>
    </w:p>
    <w:p w14:paraId="0B32E4AD" w14:textId="230684D8" w:rsidR="003B751F" w:rsidRPr="003B751F" w:rsidRDefault="0023027C" w:rsidP="003B751F">
      <w:pPr>
        <w:pStyle w:val="Caption"/>
        <w:jc w:val="left"/>
        <w:rPr>
          <w:rFonts w:ascii="Times New Roman" w:hAnsi="Times New Roman" w:cs="Times New Roman"/>
          <w:bCs/>
          <w:i/>
          <w:szCs w:val="20"/>
        </w:rPr>
      </w:pPr>
      <w:bookmarkStart w:id="2" w:name="_Ref213081273"/>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4</w:t>
      </w:r>
      <w:r w:rsidRPr="008A4F96">
        <w:rPr>
          <w:rFonts w:ascii="Times New Roman" w:hAnsi="Times New Roman" w:cs="Times New Roman"/>
          <w:noProof/>
          <w:sz w:val="24"/>
          <w:szCs w:val="20"/>
        </w:rPr>
        <w:fldChar w:fldCharType="end"/>
      </w:r>
      <w:bookmarkEnd w:id="2"/>
      <w:r w:rsidRPr="008A4F96">
        <w:rPr>
          <w:rFonts w:ascii="Times New Roman" w:hAnsi="Times New Roman" w:cs="Times New Roman"/>
          <w:sz w:val="24"/>
          <w:szCs w:val="20"/>
        </w:rPr>
        <w:t xml:space="preserve">. Root Mean Square Deviation (RMSD) of Protein Backbone. </w:t>
      </w:r>
      <w:bookmarkStart w:id="3" w:name="_Ref213081305"/>
      <w:r w:rsidR="003B751F" w:rsidRPr="003B751F">
        <w:rPr>
          <w:rFonts w:ascii="Times New Roman" w:hAnsi="Times New Roman" w:cs="Times New Roman"/>
          <w:b w:val="0"/>
          <w:i/>
          <w:sz w:val="24"/>
          <w:szCs w:val="22"/>
        </w:rPr>
        <w:t>Root Mean Square Deviation (RMSD) of the protein backbone (</w:t>
      </w:r>
      <m:oMath>
        <m:r>
          <w:rPr>
            <w:rFonts w:ascii="Cambria Math" w:hAnsi="Cambria Math" w:cs="Times New Roman"/>
            <w:sz w:val="24"/>
            <w:szCs w:val="22"/>
          </w:rPr>
          <m:t>C</m:t>
        </m:r>
        <m:r>
          <w:rPr>
            <w:rFonts w:ascii="Cambria Math" w:hAnsi="Cambria Math" w:cs="Times New Roman"/>
            <w:sz w:val="24"/>
            <w:szCs w:val="22"/>
          </w:rPr>
          <m:t>α</m:t>
        </m:r>
      </m:oMath>
      <w:r w:rsidR="003B751F" w:rsidRPr="003B751F">
        <w:rPr>
          <w:rFonts w:ascii="Times New Roman" w:hAnsi="Times New Roman" w:cs="Times New Roman"/>
          <w:b w:val="0"/>
          <w:i/>
          <w:sz w:val="24"/>
          <w:szCs w:val="22"/>
        </w:rPr>
        <w:t xml:space="preserve"> atoms) over the 125 ns simulation time. The plots confirm that all four apo-enzyme systems reached a stable structural equilibrium after approximately 25 ns, maintaining a compact fold with an average RMSD of 0.15–0.16 nm throughout the trajectory.</w:t>
      </w:r>
    </w:p>
    <w:p w14:paraId="76A658EC" w14:textId="3A7B8508" w:rsidR="00B56CB2" w:rsidRPr="008A4F96" w:rsidRDefault="00B56CB2" w:rsidP="003B751F">
      <w:pPr>
        <w:pStyle w:val="Caption"/>
        <w:jc w:val="left"/>
        <w:rPr>
          <w:rFonts w:ascii="Times New Roman" w:hAnsi="Times New Roman" w:cs="Times New Roman"/>
          <w:b w:val="0"/>
          <w:bCs/>
          <w:color w:val="0D0D0D" w:themeColor="text1" w:themeTint="F2"/>
          <w:sz w:val="24"/>
          <w:szCs w:val="20"/>
        </w:rPr>
      </w:pPr>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5</w:t>
      </w:r>
      <w:r w:rsidRPr="008A4F96">
        <w:rPr>
          <w:rFonts w:ascii="Times New Roman" w:hAnsi="Times New Roman" w:cs="Times New Roman"/>
          <w:noProof/>
          <w:sz w:val="24"/>
          <w:szCs w:val="20"/>
        </w:rPr>
        <w:fldChar w:fldCharType="end"/>
      </w:r>
      <w:bookmarkEnd w:id="3"/>
      <w:r w:rsidRPr="008A4F96">
        <w:rPr>
          <w:rFonts w:ascii="Times New Roman" w:hAnsi="Times New Roman" w:cs="Times New Roman"/>
          <w:sz w:val="24"/>
          <w:szCs w:val="20"/>
        </w:rPr>
        <w:t>. Radius of Gyration (</w:t>
      </w:r>
      <w:proofErr w:type="spellStart"/>
      <w:r w:rsidRPr="008A4F96">
        <w:rPr>
          <w:rFonts w:ascii="Times New Roman" w:hAnsi="Times New Roman" w:cs="Times New Roman"/>
          <w:sz w:val="24"/>
          <w:szCs w:val="20"/>
        </w:rPr>
        <w:t>Rg</w:t>
      </w:r>
      <w:proofErr w:type="spellEnd"/>
      <w:r w:rsidRPr="008A4F96">
        <w:rPr>
          <w:rFonts w:ascii="Times New Roman" w:hAnsi="Times New Roman" w:cs="Times New Roman"/>
          <w:sz w:val="24"/>
          <w:szCs w:val="20"/>
        </w:rPr>
        <w:t xml:space="preserve">) of Protein. </w:t>
      </w:r>
      <w:r w:rsidRPr="008A4F96">
        <w:rPr>
          <w:rFonts w:ascii="Times New Roman" w:hAnsi="Times New Roman" w:cs="Times New Roman"/>
          <w:b w:val="0"/>
          <w:bCs/>
          <w:i/>
          <w:iCs w:val="0"/>
          <w:sz w:val="24"/>
          <w:szCs w:val="20"/>
        </w:rPr>
        <w:t>Radius of Gyration (</w:t>
      </w:r>
      <w:proofErr w:type="spellStart"/>
      <w:r w:rsidRPr="008A4F96">
        <w:rPr>
          <w:rFonts w:ascii="Times New Roman" w:hAnsi="Times New Roman" w:cs="Times New Roman"/>
          <w:b w:val="0"/>
          <w:bCs/>
          <w:i/>
          <w:iCs w:val="0"/>
          <w:sz w:val="24"/>
          <w:szCs w:val="20"/>
        </w:rPr>
        <w:t>Rg</w:t>
      </w:r>
      <w:proofErr w:type="spellEnd"/>
      <w:r w:rsidRPr="008A4F96">
        <w:rPr>
          <w:rFonts w:ascii="Times New Roman" w:hAnsi="Times New Roman" w:cs="Times New Roman"/>
          <w:b w:val="0"/>
          <w:bCs/>
          <w:i/>
          <w:iCs w:val="0"/>
          <w:sz w:val="24"/>
          <w:szCs w:val="20"/>
        </w:rPr>
        <w:t>) of the protein Cα atoms for the four complexes. The stable and overlapping plots (fluctuating ~2.45 nm) confirm that all complexes maintained a compact globular fold.</w:t>
      </w:r>
    </w:p>
    <w:p w14:paraId="7BF3F429" w14:textId="1896E0DA" w:rsidR="0048633E" w:rsidRPr="008A4F96" w:rsidRDefault="0048633E" w:rsidP="003B751F">
      <w:pPr>
        <w:pStyle w:val="Caption"/>
        <w:jc w:val="left"/>
        <w:rPr>
          <w:rFonts w:ascii="Times New Roman" w:hAnsi="Times New Roman" w:cs="Times New Roman"/>
          <w:color w:val="0D0D0D" w:themeColor="text1" w:themeTint="F2"/>
          <w:sz w:val="24"/>
          <w:szCs w:val="20"/>
        </w:rPr>
      </w:pPr>
      <w:bookmarkStart w:id="4" w:name="_Ref213081392"/>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6</w:t>
      </w:r>
      <w:r w:rsidRPr="008A4F96">
        <w:rPr>
          <w:rFonts w:ascii="Times New Roman" w:hAnsi="Times New Roman" w:cs="Times New Roman"/>
          <w:noProof/>
          <w:sz w:val="24"/>
          <w:szCs w:val="20"/>
        </w:rPr>
        <w:fldChar w:fldCharType="end"/>
      </w:r>
      <w:bookmarkEnd w:id="4"/>
      <w:r w:rsidRPr="008A4F96">
        <w:rPr>
          <w:rFonts w:ascii="Times New Roman" w:hAnsi="Times New Roman" w:cs="Times New Roman"/>
          <w:sz w:val="24"/>
          <w:szCs w:val="20"/>
        </w:rPr>
        <w:t xml:space="preserve">. Root Mean Square Fluctuation (RMSF) of Protein Residues. </w:t>
      </w:r>
      <w:r w:rsidRPr="008A4F96">
        <w:rPr>
          <w:rFonts w:ascii="Times New Roman" w:hAnsi="Times New Roman" w:cs="Times New Roman"/>
          <w:b w:val="0"/>
          <w:bCs/>
          <w:i/>
          <w:iCs w:val="0"/>
          <w:sz w:val="24"/>
          <w:szCs w:val="20"/>
        </w:rPr>
        <w:t>RMSF of the protein Cα atoms, showing per-residue flexibility. Major peaks correspond to exposed loop regions, while binding site residues show low fluctuation, indicating stabilization by the ligands</w:t>
      </w:r>
      <w:r w:rsidR="004628D8">
        <w:rPr>
          <w:rFonts w:ascii="Times New Roman" w:hAnsi="Times New Roman" w:cs="Times New Roman"/>
          <w:b w:val="0"/>
          <w:bCs/>
          <w:i/>
          <w:iCs w:val="0"/>
          <w:sz w:val="24"/>
          <w:szCs w:val="20"/>
        </w:rPr>
        <w:t>.</w:t>
      </w:r>
    </w:p>
    <w:p w14:paraId="57C4CCCA" w14:textId="146421C1" w:rsidR="00DD77D7" w:rsidRPr="008A4F96" w:rsidRDefault="00DD77D7" w:rsidP="003B751F">
      <w:pPr>
        <w:pStyle w:val="Caption"/>
        <w:jc w:val="left"/>
        <w:rPr>
          <w:rFonts w:ascii="Times New Roman" w:hAnsi="Times New Roman" w:cs="Times New Roman"/>
          <w:b w:val="0"/>
          <w:bCs/>
          <w:i/>
          <w:iCs w:val="0"/>
          <w:color w:val="0D0D0D" w:themeColor="text1" w:themeTint="F2"/>
          <w:sz w:val="24"/>
          <w:szCs w:val="20"/>
        </w:rPr>
      </w:pPr>
      <w:bookmarkStart w:id="5" w:name="_Ref213081415"/>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7</w:t>
      </w:r>
      <w:r w:rsidRPr="008A4F96">
        <w:rPr>
          <w:rFonts w:ascii="Times New Roman" w:hAnsi="Times New Roman" w:cs="Times New Roman"/>
          <w:noProof/>
          <w:sz w:val="24"/>
          <w:szCs w:val="20"/>
        </w:rPr>
        <w:fldChar w:fldCharType="end"/>
      </w:r>
      <w:bookmarkEnd w:id="5"/>
      <w:r w:rsidRPr="008A4F96">
        <w:rPr>
          <w:rFonts w:ascii="Times New Roman" w:hAnsi="Times New Roman" w:cs="Times New Roman"/>
          <w:sz w:val="24"/>
          <w:szCs w:val="20"/>
        </w:rPr>
        <w:t xml:space="preserve">. Solvent Accessible Surface Area (SASA) of Protein. </w:t>
      </w:r>
      <w:r w:rsidRPr="008A4F96">
        <w:rPr>
          <w:rFonts w:ascii="Times New Roman" w:hAnsi="Times New Roman" w:cs="Times New Roman"/>
          <w:b w:val="0"/>
          <w:bCs/>
          <w:i/>
          <w:iCs w:val="0"/>
          <w:sz w:val="24"/>
          <w:szCs w:val="20"/>
        </w:rPr>
        <w:t>SASA of the protein over 125 ns. The stable trajectories (fluctuating ~150-160 nm²) confirm that the protein did not unfold or expose its hydrophobic core.</w:t>
      </w:r>
    </w:p>
    <w:p w14:paraId="6A1E79C2" w14:textId="16D41A1C" w:rsidR="00247656" w:rsidRPr="008A4F96" w:rsidRDefault="00DB0763" w:rsidP="003B751F">
      <w:pPr>
        <w:pStyle w:val="Caption"/>
        <w:jc w:val="left"/>
        <w:rPr>
          <w:rFonts w:ascii="Times New Roman" w:hAnsi="Times New Roman" w:cs="Times New Roman"/>
          <w:b w:val="0"/>
          <w:bCs/>
          <w:i/>
          <w:iCs w:val="0"/>
          <w:sz w:val="24"/>
          <w:szCs w:val="20"/>
        </w:rPr>
      </w:pPr>
      <w:bookmarkStart w:id="6" w:name="_Ref213081521"/>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8</w:t>
      </w:r>
      <w:r w:rsidRPr="008A4F96">
        <w:rPr>
          <w:rFonts w:ascii="Times New Roman" w:hAnsi="Times New Roman" w:cs="Times New Roman"/>
          <w:noProof/>
          <w:sz w:val="24"/>
          <w:szCs w:val="20"/>
        </w:rPr>
        <w:fldChar w:fldCharType="end"/>
      </w:r>
      <w:bookmarkEnd w:id="6"/>
      <w:r w:rsidRPr="008A4F96">
        <w:rPr>
          <w:rFonts w:ascii="Times New Roman" w:hAnsi="Times New Roman" w:cs="Times New Roman"/>
          <w:sz w:val="24"/>
          <w:szCs w:val="20"/>
        </w:rPr>
        <w:t xml:space="preserve">. Intermolecular Hydrogen Bond Analysis. </w:t>
      </w:r>
      <w:r w:rsidRPr="008A4F96">
        <w:rPr>
          <w:rFonts w:ascii="Times New Roman" w:hAnsi="Times New Roman" w:cs="Times New Roman"/>
          <w:b w:val="0"/>
          <w:bCs/>
          <w:i/>
          <w:iCs w:val="0"/>
          <w:sz w:val="24"/>
          <w:szCs w:val="20"/>
        </w:rPr>
        <w:t xml:space="preserve">Number of intermolecular hydrogen bonds formed between the </w:t>
      </w:r>
      <w:proofErr w:type="spellStart"/>
      <w:r w:rsidRPr="008A4F96">
        <w:rPr>
          <w:rFonts w:ascii="Times New Roman" w:hAnsi="Times New Roman" w:cs="Times New Roman"/>
          <w:b w:val="0"/>
          <w:bCs/>
          <w:i/>
          <w:iCs w:val="0"/>
          <w:sz w:val="24"/>
          <w:szCs w:val="20"/>
        </w:rPr>
        <w:t>InlH</w:t>
      </w:r>
      <w:proofErr w:type="spellEnd"/>
      <w:r w:rsidRPr="008A4F96">
        <w:rPr>
          <w:rFonts w:ascii="Times New Roman" w:hAnsi="Times New Roman" w:cs="Times New Roman"/>
          <w:b w:val="0"/>
          <w:bCs/>
          <w:i/>
          <w:iCs w:val="0"/>
          <w:sz w:val="24"/>
          <w:szCs w:val="20"/>
        </w:rPr>
        <w:t xml:space="preserve"> protein and each ligand over 125 ns. Note the persistent H-bonding of the Hederagenin and </w:t>
      </w:r>
      <w:proofErr w:type="spellStart"/>
      <w:r w:rsidRPr="008A4F96">
        <w:rPr>
          <w:rFonts w:ascii="Times New Roman" w:hAnsi="Times New Roman" w:cs="Times New Roman"/>
          <w:b w:val="0"/>
          <w:bCs/>
          <w:i/>
          <w:iCs w:val="0"/>
          <w:sz w:val="24"/>
          <w:szCs w:val="20"/>
        </w:rPr>
        <w:t>Maslinic</w:t>
      </w:r>
      <w:proofErr w:type="spellEnd"/>
      <w:r w:rsidRPr="008A4F96">
        <w:rPr>
          <w:rFonts w:ascii="Times New Roman" w:hAnsi="Times New Roman" w:cs="Times New Roman"/>
          <w:b w:val="0"/>
          <w:bCs/>
          <w:i/>
          <w:iCs w:val="0"/>
          <w:sz w:val="24"/>
          <w:szCs w:val="20"/>
        </w:rPr>
        <w:t xml:space="preserve"> analogues versus the near-zero H-bonding of the Lupeol analogue</w:t>
      </w:r>
      <w:r w:rsidR="004628D8">
        <w:rPr>
          <w:rFonts w:ascii="Times New Roman" w:hAnsi="Times New Roman" w:cs="Times New Roman"/>
          <w:b w:val="0"/>
          <w:bCs/>
          <w:i/>
          <w:iCs w:val="0"/>
          <w:sz w:val="24"/>
          <w:szCs w:val="20"/>
        </w:rPr>
        <w:t>.</w:t>
      </w:r>
    </w:p>
    <w:p w14:paraId="4D38EC9C" w14:textId="05B1B3BA" w:rsidR="00DB0763" w:rsidRPr="008A4F96" w:rsidRDefault="00247656" w:rsidP="003B751F">
      <w:pPr>
        <w:pStyle w:val="Caption"/>
        <w:jc w:val="left"/>
        <w:rPr>
          <w:rFonts w:ascii="Times New Roman" w:hAnsi="Times New Roman" w:cs="Times New Roman"/>
          <w:b w:val="0"/>
          <w:bCs/>
          <w:sz w:val="24"/>
          <w:szCs w:val="20"/>
        </w:rPr>
      </w:pPr>
      <w:bookmarkStart w:id="7" w:name="_Ref213081537"/>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9</w:t>
      </w:r>
      <w:r w:rsidRPr="008A4F96">
        <w:rPr>
          <w:rFonts w:ascii="Times New Roman" w:hAnsi="Times New Roman" w:cs="Times New Roman"/>
          <w:noProof/>
          <w:sz w:val="24"/>
          <w:szCs w:val="20"/>
        </w:rPr>
        <w:fldChar w:fldCharType="end"/>
      </w:r>
      <w:bookmarkEnd w:id="7"/>
      <w:r w:rsidRPr="008A4F96">
        <w:rPr>
          <w:rFonts w:ascii="Times New Roman" w:hAnsi="Times New Roman" w:cs="Times New Roman"/>
          <w:sz w:val="24"/>
          <w:szCs w:val="20"/>
        </w:rPr>
        <w:t>. Minimum Distance Analysis between Protein and Ligand</w:t>
      </w:r>
      <w:r w:rsidRPr="008A4F96">
        <w:rPr>
          <w:rFonts w:ascii="Times New Roman" w:hAnsi="Times New Roman" w:cs="Times New Roman"/>
          <w:i/>
          <w:iCs w:val="0"/>
          <w:sz w:val="24"/>
          <w:szCs w:val="20"/>
        </w:rPr>
        <w:t xml:space="preserve">. </w:t>
      </w:r>
      <w:r w:rsidRPr="008A4F96">
        <w:rPr>
          <w:rFonts w:ascii="Times New Roman" w:hAnsi="Times New Roman" w:cs="Times New Roman"/>
          <w:b w:val="0"/>
          <w:bCs/>
          <w:i/>
          <w:iCs w:val="0"/>
          <w:sz w:val="24"/>
          <w:szCs w:val="20"/>
        </w:rPr>
        <w:t>Minimum distance (nm) between the protein and each ligand over 125 ns. All four ligands remain in close contact (fluctuating ~0.15-0.20 nm), confirming none dissociated from the binding pocket.</w:t>
      </w:r>
    </w:p>
    <w:p w14:paraId="1BE55210" w14:textId="2E95C31C" w:rsidR="00885E8A" w:rsidRDefault="00B535D1" w:rsidP="003B751F">
      <w:pPr>
        <w:pStyle w:val="Caption"/>
        <w:jc w:val="left"/>
        <w:rPr>
          <w:rFonts w:ascii="Times New Roman" w:hAnsi="Times New Roman" w:cs="Times New Roman"/>
          <w:b w:val="0"/>
          <w:bCs/>
          <w:i/>
          <w:iCs w:val="0"/>
          <w:sz w:val="24"/>
          <w:szCs w:val="20"/>
        </w:rPr>
      </w:pPr>
      <w:bookmarkStart w:id="8" w:name="_Ref213081555"/>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10</w:t>
      </w:r>
      <w:r w:rsidRPr="008A4F96">
        <w:rPr>
          <w:rFonts w:ascii="Times New Roman" w:hAnsi="Times New Roman" w:cs="Times New Roman"/>
          <w:noProof/>
          <w:sz w:val="24"/>
          <w:szCs w:val="20"/>
        </w:rPr>
        <w:fldChar w:fldCharType="end"/>
      </w:r>
      <w:bookmarkEnd w:id="8"/>
      <w:r w:rsidRPr="008A4F96">
        <w:rPr>
          <w:rFonts w:ascii="Times New Roman" w:hAnsi="Times New Roman" w:cs="Times New Roman"/>
          <w:sz w:val="24"/>
          <w:szCs w:val="20"/>
        </w:rPr>
        <w:t xml:space="preserve">. Intermolecular Contacts Analysis. </w:t>
      </w:r>
      <w:r w:rsidRPr="008A4F96">
        <w:rPr>
          <w:rFonts w:ascii="Times New Roman" w:hAnsi="Times New Roman" w:cs="Times New Roman"/>
          <w:b w:val="0"/>
          <w:bCs/>
          <w:i/>
          <w:iCs w:val="0"/>
          <w:sz w:val="24"/>
          <w:szCs w:val="20"/>
        </w:rPr>
        <w:t xml:space="preserve">Total </w:t>
      </w:r>
      <w:bookmarkStart w:id="9" w:name="_Ref213081731"/>
      <w:r w:rsidR="00885E8A" w:rsidRPr="00885E8A">
        <w:rPr>
          <w:rFonts w:ascii="Times New Roman" w:hAnsi="Times New Roman" w:cs="Times New Roman"/>
          <w:b w:val="0"/>
          <w:bCs/>
          <w:i/>
          <w:iCs w:val="0"/>
          <w:sz w:val="24"/>
          <w:szCs w:val="20"/>
        </w:rPr>
        <w:t xml:space="preserve">number of non-covalent contacts (within a 0.6 nm cutoff) between the </w:t>
      </w:r>
      <w:proofErr w:type="spellStart"/>
      <w:r w:rsidR="00885E8A" w:rsidRPr="00885E8A">
        <w:rPr>
          <w:rFonts w:ascii="Times New Roman" w:hAnsi="Times New Roman" w:cs="Times New Roman"/>
          <w:b w:val="0"/>
          <w:bCs/>
          <w:i/>
          <w:iCs w:val="0"/>
          <w:sz w:val="24"/>
          <w:szCs w:val="20"/>
        </w:rPr>
        <w:t>InlH</w:t>
      </w:r>
      <w:proofErr w:type="spellEnd"/>
      <w:r w:rsidR="00885E8A" w:rsidRPr="00885E8A">
        <w:rPr>
          <w:rFonts w:ascii="Times New Roman" w:hAnsi="Times New Roman" w:cs="Times New Roman"/>
          <w:b w:val="0"/>
          <w:bCs/>
          <w:i/>
          <w:iCs w:val="0"/>
          <w:sz w:val="24"/>
          <w:szCs w:val="20"/>
        </w:rPr>
        <w:t xml:space="preserve"> protein and each ligand over 125 ns. The </w:t>
      </w:r>
      <w:proofErr w:type="gramStart"/>
      <w:r w:rsidR="00885E8A" w:rsidRPr="00885E8A">
        <w:rPr>
          <w:rFonts w:ascii="Times New Roman" w:hAnsi="Times New Roman" w:cs="Times New Roman"/>
          <w:b w:val="0"/>
          <w:bCs/>
          <w:i/>
          <w:iCs w:val="0"/>
          <w:sz w:val="24"/>
          <w:szCs w:val="20"/>
        </w:rPr>
        <w:t>plots show</w:t>
      </w:r>
      <w:proofErr w:type="gramEnd"/>
      <w:r w:rsidR="00885E8A" w:rsidRPr="00885E8A">
        <w:rPr>
          <w:rFonts w:ascii="Times New Roman" w:hAnsi="Times New Roman" w:cs="Times New Roman"/>
          <w:b w:val="0"/>
          <w:bCs/>
          <w:i/>
          <w:iCs w:val="0"/>
          <w:sz w:val="24"/>
          <w:szCs w:val="20"/>
        </w:rPr>
        <w:t xml:space="preserve"> that all four ligands maintained a high and stable number of contacts.</w:t>
      </w:r>
    </w:p>
    <w:p w14:paraId="5FAD18ED" w14:textId="6A061463" w:rsidR="00C00052" w:rsidRPr="008A4F96" w:rsidRDefault="00C00052" w:rsidP="003B751F">
      <w:pPr>
        <w:pStyle w:val="Caption"/>
        <w:jc w:val="left"/>
        <w:rPr>
          <w:rFonts w:ascii="Times New Roman" w:hAnsi="Times New Roman" w:cs="Times New Roman"/>
          <w:b w:val="0"/>
          <w:bCs/>
          <w:i/>
          <w:iCs w:val="0"/>
          <w:color w:val="0D0D0D" w:themeColor="text1" w:themeTint="F2"/>
          <w:sz w:val="24"/>
          <w:szCs w:val="20"/>
        </w:rPr>
      </w:pPr>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11</w:t>
      </w:r>
      <w:r w:rsidRPr="008A4F96">
        <w:rPr>
          <w:rFonts w:ascii="Times New Roman" w:hAnsi="Times New Roman" w:cs="Times New Roman"/>
          <w:noProof/>
          <w:sz w:val="24"/>
          <w:szCs w:val="20"/>
        </w:rPr>
        <w:fldChar w:fldCharType="end"/>
      </w:r>
      <w:bookmarkEnd w:id="9"/>
      <w:r w:rsidRPr="008A4F96">
        <w:rPr>
          <w:rFonts w:ascii="Times New Roman" w:hAnsi="Times New Roman" w:cs="Times New Roman"/>
          <w:sz w:val="24"/>
          <w:szCs w:val="20"/>
        </w:rPr>
        <w:t xml:space="preserve">. Conformational Snapshots of Ligands in the Binding Pocket. </w:t>
      </w:r>
      <w:r w:rsidRPr="008A4F96">
        <w:rPr>
          <w:rFonts w:ascii="Times New Roman" w:hAnsi="Times New Roman" w:cs="Times New Roman"/>
          <w:b w:val="0"/>
          <w:bCs/>
          <w:i/>
          <w:iCs w:val="0"/>
          <w:sz w:val="24"/>
          <w:szCs w:val="20"/>
        </w:rPr>
        <w:t xml:space="preserve">Visual representation of ligand stability. Snapshots of the four complexes were extracted at 25 ns </w:t>
      </w:r>
      <w:r w:rsidRPr="008A4F96">
        <w:rPr>
          <w:rFonts w:ascii="Times New Roman" w:hAnsi="Times New Roman" w:cs="Times New Roman"/>
          <w:b w:val="0"/>
          <w:bCs/>
          <w:i/>
          <w:iCs w:val="0"/>
          <w:sz w:val="24"/>
          <w:szCs w:val="20"/>
        </w:rPr>
        <w:lastRenderedPageBreak/>
        <w:t xml:space="preserve">intervals, showing the high stability of the Hederagenin (B) and </w:t>
      </w:r>
      <w:proofErr w:type="spellStart"/>
      <w:r w:rsidRPr="008A4F96">
        <w:rPr>
          <w:rFonts w:ascii="Times New Roman" w:hAnsi="Times New Roman" w:cs="Times New Roman"/>
          <w:b w:val="0"/>
          <w:bCs/>
          <w:i/>
          <w:iCs w:val="0"/>
          <w:sz w:val="24"/>
          <w:szCs w:val="20"/>
        </w:rPr>
        <w:t>Maslinic</w:t>
      </w:r>
      <w:proofErr w:type="spellEnd"/>
      <w:r w:rsidRPr="008A4F96">
        <w:rPr>
          <w:rFonts w:ascii="Times New Roman" w:hAnsi="Times New Roman" w:cs="Times New Roman"/>
          <w:b w:val="0"/>
          <w:bCs/>
          <w:i/>
          <w:iCs w:val="0"/>
          <w:sz w:val="24"/>
          <w:szCs w:val="20"/>
        </w:rPr>
        <w:t xml:space="preserve"> (D) analogues versus the clear conformational drift of the Lupeol analogue (C).</w:t>
      </w:r>
    </w:p>
    <w:p w14:paraId="5F84C46E" w14:textId="179FFD56" w:rsidR="00C1760B" w:rsidRPr="008A4F96" w:rsidRDefault="00C1760B" w:rsidP="003B751F">
      <w:pPr>
        <w:pStyle w:val="Caption"/>
        <w:jc w:val="left"/>
        <w:rPr>
          <w:rFonts w:ascii="Times New Roman" w:hAnsi="Times New Roman" w:cs="Times New Roman"/>
          <w:b w:val="0"/>
          <w:bCs/>
          <w:i/>
          <w:iCs w:val="0"/>
          <w:color w:val="0D0D0D" w:themeColor="text1" w:themeTint="F2"/>
          <w:sz w:val="24"/>
          <w:szCs w:val="20"/>
        </w:rPr>
      </w:pPr>
      <w:bookmarkStart w:id="10" w:name="_Ref213081873"/>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12</w:t>
      </w:r>
      <w:r w:rsidRPr="008A4F96">
        <w:rPr>
          <w:rFonts w:ascii="Times New Roman" w:hAnsi="Times New Roman" w:cs="Times New Roman"/>
          <w:noProof/>
          <w:sz w:val="24"/>
          <w:szCs w:val="20"/>
        </w:rPr>
        <w:fldChar w:fldCharType="end"/>
      </w:r>
      <w:bookmarkEnd w:id="10"/>
      <w:r w:rsidRPr="008A4F96">
        <w:rPr>
          <w:rFonts w:ascii="Times New Roman" w:hAnsi="Times New Roman" w:cs="Times New Roman"/>
          <w:sz w:val="24"/>
          <w:szCs w:val="20"/>
        </w:rPr>
        <w:t xml:space="preserve">. Free Energy Landscape (FEL) Analysis. </w:t>
      </w:r>
      <w:r w:rsidRPr="008A4F96">
        <w:rPr>
          <w:rFonts w:ascii="Times New Roman" w:hAnsi="Times New Roman" w:cs="Times New Roman"/>
          <w:b w:val="0"/>
          <w:bCs/>
          <w:i/>
          <w:iCs w:val="0"/>
          <w:sz w:val="24"/>
          <w:szCs w:val="20"/>
        </w:rPr>
        <w:t>FEL plots for the four complexes, projecting the first two principal components (PC1, PC2). The Hederagenin analogue (B) shows a single, deep (low-energy, blue) basin, indicating high stability. The Lupeol analogue (C) shows a broad, rugged landscape, indicating instability.</w:t>
      </w:r>
    </w:p>
    <w:p w14:paraId="5445C855" w14:textId="5D978F51" w:rsidR="00ED40F1" w:rsidRPr="008A4F96" w:rsidRDefault="00ED40F1" w:rsidP="003B751F">
      <w:pPr>
        <w:pStyle w:val="Caption"/>
        <w:jc w:val="left"/>
        <w:rPr>
          <w:rFonts w:ascii="Times New Roman" w:hAnsi="Times New Roman" w:cs="Times New Roman"/>
          <w:b w:val="0"/>
          <w:bCs/>
          <w:i/>
          <w:iCs w:val="0"/>
          <w:color w:val="0D0D0D" w:themeColor="text1" w:themeTint="F2"/>
          <w:sz w:val="24"/>
          <w:szCs w:val="20"/>
        </w:rPr>
      </w:pPr>
      <w:bookmarkStart w:id="11" w:name="_Ref213081897"/>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13</w:t>
      </w:r>
      <w:r w:rsidRPr="008A4F96">
        <w:rPr>
          <w:rFonts w:ascii="Times New Roman" w:hAnsi="Times New Roman" w:cs="Times New Roman"/>
          <w:noProof/>
          <w:sz w:val="24"/>
          <w:szCs w:val="20"/>
        </w:rPr>
        <w:fldChar w:fldCharType="end"/>
      </w:r>
      <w:bookmarkEnd w:id="11"/>
      <w:r w:rsidRPr="008A4F96">
        <w:rPr>
          <w:rFonts w:ascii="Times New Roman" w:hAnsi="Times New Roman" w:cs="Times New Roman"/>
          <w:sz w:val="24"/>
          <w:szCs w:val="20"/>
        </w:rPr>
        <w:t>. Dynamic Cross-Correlation Matrix (DCCM) Analysis</w:t>
      </w:r>
      <w:r w:rsidRPr="008A4F96">
        <w:rPr>
          <w:rFonts w:ascii="Times New Roman" w:hAnsi="Times New Roman" w:cs="Times New Roman"/>
          <w:i/>
          <w:iCs w:val="0"/>
          <w:sz w:val="24"/>
          <w:szCs w:val="20"/>
        </w:rPr>
        <w:t xml:space="preserve">. </w:t>
      </w:r>
      <w:r w:rsidRPr="008A4F96">
        <w:rPr>
          <w:rFonts w:ascii="Times New Roman" w:hAnsi="Times New Roman" w:cs="Times New Roman"/>
          <w:b w:val="0"/>
          <w:bCs/>
          <w:i/>
          <w:iCs w:val="0"/>
          <w:sz w:val="24"/>
          <w:szCs w:val="20"/>
        </w:rPr>
        <w:t>DCCM maps of protein Cα atoms. Red indicates highly correlated motion, while blue indicates anti-correlated motion. The map for the Hederagenin analogue (B) shows strong positive correlations in the binding site, indicating induced rigidity.</w:t>
      </w:r>
    </w:p>
    <w:p w14:paraId="33AD9B2E" w14:textId="28DAA134" w:rsidR="00344E92" w:rsidRPr="00344E92" w:rsidRDefault="007E2951" w:rsidP="00344E92">
      <w:pPr>
        <w:pStyle w:val="Caption"/>
        <w:jc w:val="left"/>
        <w:rPr>
          <w:rFonts w:ascii="Times New Roman" w:hAnsi="Times New Roman" w:cs="Times New Roman"/>
          <w:bCs/>
          <w:i/>
          <w:szCs w:val="20"/>
        </w:rPr>
      </w:pPr>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14</w:t>
      </w:r>
      <w:r w:rsidRPr="008A4F96">
        <w:rPr>
          <w:rFonts w:ascii="Times New Roman" w:hAnsi="Times New Roman" w:cs="Times New Roman"/>
          <w:noProof/>
          <w:sz w:val="24"/>
          <w:szCs w:val="20"/>
        </w:rPr>
        <w:fldChar w:fldCharType="end"/>
      </w:r>
      <w:r w:rsidRPr="008A4F96">
        <w:rPr>
          <w:rFonts w:ascii="Times New Roman" w:hAnsi="Times New Roman" w:cs="Times New Roman"/>
          <w:sz w:val="24"/>
          <w:szCs w:val="20"/>
        </w:rPr>
        <w:t>. Frontier Molecular Orbitals (HOMO-LUMO).</w:t>
      </w:r>
      <w:r w:rsidRPr="008A4F96">
        <w:rPr>
          <w:rFonts w:ascii="Times New Roman" w:hAnsi="Times New Roman" w:cs="Times New Roman"/>
          <w:b w:val="0"/>
          <w:bCs/>
          <w:sz w:val="24"/>
          <w:szCs w:val="20"/>
        </w:rPr>
        <w:t xml:space="preserve"> </w:t>
      </w:r>
      <w:r w:rsidRPr="008A4F96">
        <w:rPr>
          <w:rFonts w:ascii="Times New Roman" w:hAnsi="Times New Roman" w:cs="Times New Roman"/>
          <w:b w:val="0"/>
          <w:bCs/>
          <w:i/>
          <w:iCs w:val="0"/>
          <w:sz w:val="24"/>
          <w:szCs w:val="20"/>
        </w:rPr>
        <w:t>Visualization</w:t>
      </w:r>
      <w:r w:rsidR="00344E92">
        <w:rPr>
          <w:rFonts w:ascii="Times New Roman" w:hAnsi="Times New Roman" w:cs="Times New Roman"/>
          <w:b w:val="0"/>
          <w:bCs/>
          <w:i/>
          <w:iCs w:val="0"/>
          <w:sz w:val="24"/>
          <w:szCs w:val="20"/>
        </w:rPr>
        <w:t xml:space="preserve"> of</w:t>
      </w:r>
      <w:r w:rsidRPr="008A4F96">
        <w:rPr>
          <w:rFonts w:ascii="Times New Roman" w:hAnsi="Times New Roman" w:cs="Times New Roman"/>
          <w:b w:val="0"/>
          <w:bCs/>
          <w:i/>
          <w:iCs w:val="0"/>
          <w:sz w:val="24"/>
          <w:szCs w:val="20"/>
        </w:rPr>
        <w:t xml:space="preserve"> </w:t>
      </w:r>
      <w:bookmarkStart w:id="12" w:name="_Hlk213157796"/>
      <w:r w:rsidR="00344E92" w:rsidRPr="00344E92">
        <w:rPr>
          <w:rFonts w:ascii="Times New Roman" w:hAnsi="Times New Roman" w:cs="Times New Roman"/>
          <w:b w:val="0"/>
          <w:i/>
          <w:sz w:val="24"/>
          <w:szCs w:val="22"/>
        </w:rPr>
        <w:t>Frontier Molecular Orbitals (FMOs) and energy gaps (</w:t>
      </w:r>
      <m:oMath>
        <m:r>
          <m:rPr>
            <m:sty m:val="p"/>
          </m:rPr>
          <w:rPr>
            <w:rFonts w:ascii="Cambria Math" w:hAnsi="Cambria Math" w:cs="Times New Roman"/>
            <w:sz w:val="24"/>
            <w:szCs w:val="22"/>
          </w:rPr>
          <m:t>Δ</m:t>
        </m:r>
        <m:r>
          <w:rPr>
            <w:rFonts w:ascii="Cambria Math" w:hAnsi="Cambria Math" w:cs="Times New Roman"/>
            <w:sz w:val="24"/>
            <w:szCs w:val="22"/>
          </w:rPr>
          <m:t>E</m:t>
        </m:r>
      </m:oMath>
      <w:r w:rsidR="00344E92" w:rsidRPr="00344E92">
        <w:rPr>
          <w:rFonts w:ascii="Times New Roman" w:hAnsi="Times New Roman" w:cs="Times New Roman"/>
          <w:b w:val="0"/>
          <w:i/>
          <w:sz w:val="24"/>
          <w:szCs w:val="22"/>
        </w:rPr>
        <w:t>) for the lead compounds. (Top Row) Lowest Unoccupied Molecular Orbitals (LUMO) shown in green and yellow mesh. (Bottom Row) Highest Occupied Molecular Orbitals (HOMO) shown in red and blue mesh. The calculated HOMO-LUMO gap (</w:t>
      </w:r>
      <m:oMath>
        <m:r>
          <m:rPr>
            <m:sty m:val="p"/>
          </m:rPr>
          <w:rPr>
            <w:rFonts w:ascii="Cambria Math" w:hAnsi="Cambria Math" w:cs="Times New Roman"/>
            <w:sz w:val="24"/>
            <w:szCs w:val="22"/>
          </w:rPr>
          <m:t>Δ</m:t>
        </m:r>
        <m:r>
          <w:rPr>
            <w:rFonts w:ascii="Cambria Math" w:hAnsi="Cambria Math" w:cs="Times New Roman"/>
            <w:sz w:val="24"/>
            <w:szCs w:val="22"/>
          </w:rPr>
          <m:t>E</m:t>
        </m:r>
      </m:oMath>
      <w:r w:rsidR="00344E92" w:rsidRPr="00344E92">
        <w:rPr>
          <w:rFonts w:ascii="Times New Roman" w:hAnsi="Times New Roman" w:cs="Times New Roman"/>
          <w:b w:val="0"/>
          <w:i/>
          <w:sz w:val="24"/>
          <w:szCs w:val="22"/>
        </w:rPr>
        <w:t xml:space="preserve"> in eV) is provided below each structure.</w:t>
      </w:r>
    </w:p>
    <w:p w14:paraId="560CE8FA" w14:textId="26270922" w:rsidR="00037F09" w:rsidRPr="008A4F96" w:rsidRDefault="00037F09" w:rsidP="003B751F">
      <w:pPr>
        <w:pStyle w:val="Caption"/>
        <w:jc w:val="left"/>
        <w:rPr>
          <w:rFonts w:ascii="Times New Roman" w:eastAsiaTheme="minorEastAsia" w:hAnsi="Times New Roman" w:cs="Times New Roman"/>
          <w:i/>
          <w:iCs w:val="0"/>
          <w:color w:val="0D0D0D" w:themeColor="text1" w:themeTint="F2"/>
          <w:sz w:val="24"/>
          <w:szCs w:val="20"/>
        </w:rPr>
      </w:pPr>
      <w:r w:rsidRPr="008A4F96">
        <w:rPr>
          <w:rFonts w:ascii="Times New Roman" w:hAnsi="Times New Roman" w:cs="Times New Roman"/>
          <w:sz w:val="24"/>
          <w:szCs w:val="20"/>
        </w:rPr>
        <w:t xml:space="preserve">Figure </w:t>
      </w:r>
      <w:r w:rsidRPr="008A4F96">
        <w:rPr>
          <w:rFonts w:ascii="Times New Roman" w:hAnsi="Times New Roman" w:cs="Times New Roman"/>
          <w:sz w:val="24"/>
          <w:szCs w:val="20"/>
        </w:rPr>
        <w:fldChar w:fldCharType="begin"/>
      </w:r>
      <w:r w:rsidRPr="008A4F96">
        <w:rPr>
          <w:rFonts w:ascii="Times New Roman" w:hAnsi="Times New Roman" w:cs="Times New Roman"/>
          <w:sz w:val="24"/>
          <w:szCs w:val="20"/>
        </w:rPr>
        <w:instrText xml:space="preserve"> SEQ Figure \* ARABIC </w:instrText>
      </w:r>
      <w:r w:rsidRPr="008A4F96">
        <w:rPr>
          <w:rFonts w:ascii="Times New Roman" w:hAnsi="Times New Roman" w:cs="Times New Roman"/>
          <w:sz w:val="24"/>
          <w:szCs w:val="20"/>
        </w:rPr>
        <w:fldChar w:fldCharType="separate"/>
      </w:r>
      <w:r w:rsidR="00E21F2A">
        <w:rPr>
          <w:rFonts w:ascii="Times New Roman" w:hAnsi="Times New Roman" w:cs="Times New Roman"/>
          <w:noProof/>
          <w:sz w:val="24"/>
          <w:szCs w:val="20"/>
        </w:rPr>
        <w:t>15</w:t>
      </w:r>
      <w:r w:rsidRPr="008A4F96">
        <w:rPr>
          <w:rFonts w:ascii="Times New Roman" w:hAnsi="Times New Roman" w:cs="Times New Roman"/>
          <w:noProof/>
          <w:sz w:val="24"/>
          <w:szCs w:val="20"/>
        </w:rPr>
        <w:fldChar w:fldCharType="end"/>
      </w:r>
      <w:r w:rsidRPr="008A4F96">
        <w:rPr>
          <w:rFonts w:ascii="Times New Roman" w:hAnsi="Times New Roman" w:cs="Times New Roman"/>
          <w:sz w:val="24"/>
          <w:szCs w:val="20"/>
        </w:rPr>
        <w:t xml:space="preserve">. Molecular Electrostatic Potential (MEP) Surfaces. </w:t>
      </w:r>
      <w:r w:rsidRPr="008A4F96">
        <w:rPr>
          <w:rFonts w:ascii="Times New Roman" w:hAnsi="Times New Roman" w:cs="Times New Roman"/>
          <w:b w:val="0"/>
          <w:bCs/>
          <w:i/>
          <w:iCs w:val="0"/>
          <w:sz w:val="24"/>
          <w:szCs w:val="20"/>
        </w:rPr>
        <w:t>MEP surfaces of the four lead ligands. Electron-rich regions (electronegative) are colored red, while electron-poor regions (electropositive) are colored blue, visualizing sites for non-covalent interactions.</w:t>
      </w:r>
    </w:p>
    <w:bookmarkEnd w:id="12"/>
    <w:p w14:paraId="16C74D66" w14:textId="77777777" w:rsidR="00833AAA" w:rsidRPr="008A4F96" w:rsidRDefault="00833AAA" w:rsidP="003B751F">
      <w:pPr>
        <w:rPr>
          <w:rFonts w:ascii="Times New Roman" w:hAnsi="Times New Roman" w:cs="Times New Roman"/>
          <w:iCs/>
          <w:sz w:val="28"/>
          <w:szCs w:val="28"/>
        </w:rPr>
      </w:pPr>
    </w:p>
    <w:sectPr w:rsidR="00833AAA" w:rsidRPr="008A4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F785E"/>
    <w:multiLevelType w:val="multilevel"/>
    <w:tmpl w:val="F41E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DA2F11"/>
    <w:multiLevelType w:val="hybridMultilevel"/>
    <w:tmpl w:val="D91C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769483">
    <w:abstractNumId w:val="0"/>
  </w:num>
  <w:num w:numId="2" w16cid:durableId="1416245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BB5"/>
    <w:rsid w:val="00037F09"/>
    <w:rsid w:val="00072F23"/>
    <w:rsid w:val="000A10CE"/>
    <w:rsid w:val="00161FBC"/>
    <w:rsid w:val="001937BE"/>
    <w:rsid w:val="001A391D"/>
    <w:rsid w:val="001B2252"/>
    <w:rsid w:val="001B4BB5"/>
    <w:rsid w:val="002007E6"/>
    <w:rsid w:val="0023027C"/>
    <w:rsid w:val="00247656"/>
    <w:rsid w:val="00291391"/>
    <w:rsid w:val="00344E92"/>
    <w:rsid w:val="003A2776"/>
    <w:rsid w:val="003B751F"/>
    <w:rsid w:val="00413CE1"/>
    <w:rsid w:val="004628D8"/>
    <w:rsid w:val="0048633E"/>
    <w:rsid w:val="004F0B6B"/>
    <w:rsid w:val="005A6DD8"/>
    <w:rsid w:val="00611442"/>
    <w:rsid w:val="00637253"/>
    <w:rsid w:val="00647663"/>
    <w:rsid w:val="007E2951"/>
    <w:rsid w:val="00833AAA"/>
    <w:rsid w:val="00885E8A"/>
    <w:rsid w:val="00887B7C"/>
    <w:rsid w:val="008A4F96"/>
    <w:rsid w:val="00906FB5"/>
    <w:rsid w:val="0093043C"/>
    <w:rsid w:val="009C0C56"/>
    <w:rsid w:val="009E148E"/>
    <w:rsid w:val="00A345D3"/>
    <w:rsid w:val="00AB13C1"/>
    <w:rsid w:val="00AC1D82"/>
    <w:rsid w:val="00B535D1"/>
    <w:rsid w:val="00B56CB2"/>
    <w:rsid w:val="00C00052"/>
    <w:rsid w:val="00C1760B"/>
    <w:rsid w:val="00C63DE5"/>
    <w:rsid w:val="00CD602F"/>
    <w:rsid w:val="00DB0763"/>
    <w:rsid w:val="00DD77D7"/>
    <w:rsid w:val="00E21F2A"/>
    <w:rsid w:val="00E73C2B"/>
    <w:rsid w:val="00ED4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989BA"/>
  <w15:chartTrackingRefBased/>
  <w15:docId w15:val="{22DA9FEC-AF76-48FB-B8D8-A9870B21D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B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B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B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B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B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B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B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B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B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B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BB5"/>
    <w:rPr>
      <w:rFonts w:eastAsiaTheme="majorEastAsia" w:cstheme="majorBidi"/>
      <w:color w:val="272727" w:themeColor="text1" w:themeTint="D8"/>
    </w:rPr>
  </w:style>
  <w:style w:type="paragraph" w:styleId="Title">
    <w:name w:val="Title"/>
    <w:basedOn w:val="Normal"/>
    <w:next w:val="Normal"/>
    <w:link w:val="TitleChar"/>
    <w:uiPriority w:val="10"/>
    <w:qFormat/>
    <w:rsid w:val="001B4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BB5"/>
    <w:pPr>
      <w:spacing w:before="160"/>
      <w:jc w:val="center"/>
    </w:pPr>
    <w:rPr>
      <w:i/>
      <w:iCs/>
      <w:color w:val="404040" w:themeColor="text1" w:themeTint="BF"/>
    </w:rPr>
  </w:style>
  <w:style w:type="character" w:customStyle="1" w:styleId="QuoteChar">
    <w:name w:val="Quote Char"/>
    <w:basedOn w:val="DefaultParagraphFont"/>
    <w:link w:val="Quote"/>
    <w:uiPriority w:val="29"/>
    <w:rsid w:val="001B4BB5"/>
    <w:rPr>
      <w:i/>
      <w:iCs/>
      <w:color w:val="404040" w:themeColor="text1" w:themeTint="BF"/>
    </w:rPr>
  </w:style>
  <w:style w:type="paragraph" w:styleId="ListParagraph">
    <w:name w:val="List Paragraph"/>
    <w:basedOn w:val="Normal"/>
    <w:uiPriority w:val="34"/>
    <w:qFormat/>
    <w:rsid w:val="001B4BB5"/>
    <w:pPr>
      <w:ind w:left="720"/>
      <w:contextualSpacing/>
    </w:pPr>
  </w:style>
  <w:style w:type="character" w:styleId="IntenseEmphasis">
    <w:name w:val="Intense Emphasis"/>
    <w:basedOn w:val="DefaultParagraphFont"/>
    <w:uiPriority w:val="21"/>
    <w:qFormat/>
    <w:rsid w:val="001B4BB5"/>
    <w:rPr>
      <w:i/>
      <w:iCs/>
      <w:color w:val="2F5496" w:themeColor="accent1" w:themeShade="BF"/>
    </w:rPr>
  </w:style>
  <w:style w:type="paragraph" w:styleId="IntenseQuote">
    <w:name w:val="Intense Quote"/>
    <w:basedOn w:val="Normal"/>
    <w:next w:val="Normal"/>
    <w:link w:val="IntenseQuoteChar"/>
    <w:uiPriority w:val="30"/>
    <w:qFormat/>
    <w:rsid w:val="001B4B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BB5"/>
    <w:rPr>
      <w:i/>
      <w:iCs/>
      <w:color w:val="2F5496" w:themeColor="accent1" w:themeShade="BF"/>
    </w:rPr>
  </w:style>
  <w:style w:type="character" w:styleId="IntenseReference">
    <w:name w:val="Intense Reference"/>
    <w:basedOn w:val="DefaultParagraphFont"/>
    <w:uiPriority w:val="32"/>
    <w:qFormat/>
    <w:rsid w:val="001B4BB5"/>
    <w:rPr>
      <w:b/>
      <w:bCs/>
      <w:smallCaps/>
      <w:color w:val="2F5496" w:themeColor="accent1" w:themeShade="BF"/>
      <w:spacing w:val="5"/>
    </w:rPr>
  </w:style>
  <w:style w:type="paragraph" w:styleId="Caption">
    <w:name w:val="caption"/>
    <w:basedOn w:val="Normal"/>
    <w:next w:val="Normal"/>
    <w:uiPriority w:val="35"/>
    <w:unhideWhenUsed/>
    <w:qFormat/>
    <w:rsid w:val="00AC1D82"/>
    <w:pPr>
      <w:spacing w:after="200" w:line="240" w:lineRule="auto"/>
      <w:jc w:val="center"/>
    </w:pPr>
    <w:rPr>
      <w:b/>
      <w:iCs/>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F227E77-6A8F-4DE6-B5CD-C02960426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Kumar Dewangan</dc:creator>
  <cp:keywords/>
  <dc:description/>
  <cp:lastModifiedBy>Ayush Kumar Dewangan</cp:lastModifiedBy>
  <cp:revision>34</cp:revision>
  <dcterms:created xsi:type="dcterms:W3CDTF">2025-11-03T12:24:00Z</dcterms:created>
  <dcterms:modified xsi:type="dcterms:W3CDTF">2025-11-20T16:09:00Z</dcterms:modified>
</cp:coreProperties>
</file>