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7C47" w14:textId="77777777" w:rsidR="0053378B" w:rsidRPr="002C4F9C" w:rsidRDefault="0053378B" w:rsidP="0053378B">
      <w:pPr>
        <w:rPr>
          <w:rFonts w:ascii="Times New Roman" w:hAnsi="Times New Roman" w:cs="Times New Roman"/>
        </w:rPr>
      </w:pPr>
      <w:r w:rsidRPr="002C4F9C">
        <w:rPr>
          <w:rFonts w:ascii="Times New Roman" w:hAnsi="Times New Roman" w:cs="Times New Roman"/>
          <w:b/>
          <w:bCs/>
        </w:rPr>
        <w:t>Title:</w:t>
      </w:r>
      <w:r w:rsidRPr="002C4F9C">
        <w:rPr>
          <w:rFonts w:ascii="Times New Roman" w:hAnsi="Times New Roman" w:cs="Times New Roman"/>
        </w:rPr>
        <w:t xml:space="preserve"> Targeting a Key Virulence Factor in Listeria monocytogenes: An </w:t>
      </w:r>
      <w:proofErr w:type="gramStart"/>
      <w:r w:rsidRPr="002C4F9C">
        <w:rPr>
          <w:rFonts w:ascii="Times New Roman" w:hAnsi="Times New Roman" w:cs="Times New Roman"/>
        </w:rPr>
        <w:t>In</w:t>
      </w:r>
      <w:proofErr w:type="gramEnd"/>
      <w:r w:rsidRPr="002C4F9C">
        <w:rPr>
          <w:rFonts w:ascii="Times New Roman" w:hAnsi="Times New Roman" w:cs="Times New Roman"/>
        </w:rPr>
        <w:t xml:space="preserve"> Silico Discovery and Pharmacokinetic Profiling of Novel Internalin H Inhibitors</w:t>
      </w:r>
    </w:p>
    <w:p w14:paraId="65BD93F8" w14:textId="77777777" w:rsidR="0053378B" w:rsidRPr="002C4F9C" w:rsidRDefault="0053378B" w:rsidP="0053378B">
      <w:pPr>
        <w:rPr>
          <w:rFonts w:ascii="Times New Roman" w:hAnsi="Times New Roman" w:cs="Times New Roman"/>
          <w:b/>
          <w:bCs/>
        </w:rPr>
      </w:pPr>
      <w:r w:rsidRPr="002C4F9C">
        <w:rPr>
          <w:rFonts w:ascii="Times New Roman" w:hAnsi="Times New Roman" w:cs="Times New Roman"/>
          <w:b/>
          <w:bCs/>
        </w:rPr>
        <w:t>Response to Reviewer 1</w:t>
      </w:r>
    </w:p>
    <w:p w14:paraId="34E28BAD" w14:textId="77777777" w:rsidR="0053378B" w:rsidRPr="002C4F9C" w:rsidRDefault="0053378B" w:rsidP="0053378B">
      <w:pPr>
        <w:rPr>
          <w:rFonts w:ascii="Times New Roman" w:hAnsi="Times New Roman" w:cs="Times New Roman"/>
        </w:rPr>
      </w:pPr>
      <w:r w:rsidRPr="002C4F9C">
        <w:rPr>
          <w:rFonts w:ascii="Times New Roman" w:hAnsi="Times New Roman" w:cs="Times New Roman"/>
          <w:b/>
          <w:bCs/>
        </w:rPr>
        <w:t>Recommendation:</w:t>
      </w:r>
      <w:r w:rsidRPr="002C4F9C">
        <w:rPr>
          <w:rFonts w:ascii="Times New Roman" w:hAnsi="Times New Roman" w:cs="Times New Roman"/>
        </w:rPr>
        <w:t xml:space="preserve"> Major Revision</w:t>
      </w:r>
    </w:p>
    <w:p w14:paraId="72154BFA"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1. Authors must include the importance of computational methods at the end of the introduction.</w:t>
      </w:r>
    </w:p>
    <w:p w14:paraId="3610B7BF"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thank the reviewer for this suggestion. We have revised the Introduction to explicitly highlight the critical role of computational workflows in modern drug discovery, specifically bridging the gap between hit identification and pharmacokinetic failure.</w:t>
      </w:r>
    </w:p>
    <w:p w14:paraId="3A65F307" w14:textId="5EB26978" w:rsidR="0053378B" w:rsidRPr="002C4F9C" w:rsidRDefault="0053378B" w:rsidP="0053378B">
      <w:pPr>
        <w:numPr>
          <w:ilvl w:val="0"/>
          <w:numId w:val="1"/>
        </w:numPr>
        <w:rPr>
          <w:rFonts w:ascii="Times New Roman" w:hAnsi="Times New Roman" w:cs="Times New Roman"/>
        </w:rPr>
      </w:pPr>
      <w:r w:rsidRPr="002C4F9C">
        <w:rPr>
          <w:rFonts w:ascii="Times New Roman" w:hAnsi="Times New Roman" w:cs="Times New Roman"/>
          <w:b/>
          <w:bCs/>
        </w:rPr>
        <w:t>Revisions made:</w:t>
      </w:r>
      <w:r w:rsidRPr="002C4F9C">
        <w:rPr>
          <w:rFonts w:ascii="Times New Roman" w:hAnsi="Times New Roman" w:cs="Times New Roman"/>
        </w:rPr>
        <w:t xml:space="preserve"> We added text emphasizing that computational workflows offer rapid, cost-effective alternatives to traditional screening by filtering vast libraries and predicting failures early. We concluded the introduction by outlining our comprehensive workflow—from rapid screening to rigorous biophysical (MD/MM-GBSA) and quantum mechanical (DFT) validation—to provide a strong foundation for identifying high-affinity inhibitors.</w:t>
      </w:r>
    </w:p>
    <w:p w14:paraId="742928CF"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2. In HOMO and LUMO analysis </w:t>
      </w:r>
      <w:proofErr w:type="spellStart"/>
      <w:r w:rsidRPr="002C4F9C">
        <w:rPr>
          <w:rFonts w:ascii="Times New Roman" w:hAnsi="Times New Roman" w:cs="Times New Roman"/>
        </w:rPr>
        <w:t>hedragenin</w:t>
      </w:r>
      <w:proofErr w:type="spellEnd"/>
      <w:r w:rsidRPr="002C4F9C">
        <w:rPr>
          <w:rFonts w:ascii="Times New Roman" w:hAnsi="Times New Roman" w:cs="Times New Roman"/>
        </w:rPr>
        <w:t xml:space="preserve"> analogue as well as </w:t>
      </w:r>
      <w:proofErr w:type="spellStart"/>
      <w:r w:rsidRPr="002C4F9C">
        <w:rPr>
          <w:rFonts w:ascii="Times New Roman" w:hAnsi="Times New Roman" w:cs="Times New Roman"/>
        </w:rPr>
        <w:t>malinic</w:t>
      </w:r>
      <w:proofErr w:type="spellEnd"/>
      <w:r w:rsidRPr="002C4F9C">
        <w:rPr>
          <w:rFonts w:ascii="Times New Roman" w:hAnsi="Times New Roman" w:cs="Times New Roman"/>
        </w:rPr>
        <w:t xml:space="preserve"> acid analogue both </w:t>
      </w:r>
      <w:proofErr w:type="gramStart"/>
      <w:r w:rsidRPr="002C4F9C">
        <w:rPr>
          <w:rFonts w:ascii="Times New Roman" w:hAnsi="Times New Roman" w:cs="Times New Roman"/>
        </w:rPr>
        <w:t>shows</w:t>
      </w:r>
      <w:proofErr w:type="gramEnd"/>
      <w:r w:rsidRPr="002C4F9C">
        <w:rPr>
          <w:rFonts w:ascii="Times New Roman" w:hAnsi="Times New Roman" w:cs="Times New Roman"/>
        </w:rPr>
        <w:t xml:space="preserve"> decreased energy gaps, then how can authors justify this the Hederagenin analogue... but in molecular docking </w:t>
      </w:r>
      <w:proofErr w:type="spellStart"/>
      <w:r w:rsidRPr="002C4F9C">
        <w:rPr>
          <w:rFonts w:ascii="Times New Roman" w:hAnsi="Times New Roman" w:cs="Times New Roman"/>
        </w:rPr>
        <w:t>maslinic</w:t>
      </w:r>
      <w:proofErr w:type="spellEnd"/>
      <w:r w:rsidRPr="002C4F9C">
        <w:rPr>
          <w:rFonts w:ascii="Times New Roman" w:hAnsi="Times New Roman" w:cs="Times New Roman"/>
        </w:rPr>
        <w:t xml:space="preserve"> acid analogue has decreased binding energy.</w:t>
      </w:r>
    </w:p>
    <w:p w14:paraId="6A0F8229"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appreciate the reviewer pointing out this apparent discrepancy. We have added a specific section in the Discussion to clarify the distinction between electronic reactivity (DFT) and thermodynamic binding stability (MM/GBSA).</w:t>
      </w:r>
    </w:p>
    <w:p w14:paraId="70014D90" w14:textId="251025C1" w:rsidR="0053378B" w:rsidRPr="002C4F9C" w:rsidRDefault="0053378B" w:rsidP="0053378B">
      <w:pPr>
        <w:numPr>
          <w:ilvl w:val="0"/>
          <w:numId w:val="2"/>
        </w:numPr>
        <w:rPr>
          <w:rFonts w:ascii="Times New Roman" w:hAnsi="Times New Roman" w:cs="Times New Roman"/>
        </w:rPr>
      </w:pPr>
      <w:r w:rsidRPr="002C4F9C">
        <w:rPr>
          <w:rFonts w:ascii="Times New Roman" w:hAnsi="Times New Roman" w:cs="Times New Roman"/>
          <w:b/>
          <w:bCs/>
        </w:rPr>
        <w:t>Clarification:</w:t>
      </w:r>
      <w:r w:rsidRPr="002C4F9C">
        <w:rPr>
          <w:rFonts w:ascii="Times New Roman" w:hAnsi="Times New Roman" w:cs="Times New Roman"/>
        </w:rPr>
        <w:t xml:space="preserve"> While DFT analysis confirms that the </w:t>
      </w:r>
      <w:proofErr w:type="spellStart"/>
      <w:r w:rsidRPr="002C4F9C">
        <w:rPr>
          <w:rFonts w:ascii="Times New Roman" w:hAnsi="Times New Roman" w:cs="Times New Roman"/>
        </w:rPr>
        <w:t>Maslinic</w:t>
      </w:r>
      <w:proofErr w:type="spellEnd"/>
      <w:r w:rsidRPr="002C4F9C">
        <w:rPr>
          <w:rFonts w:ascii="Times New Roman" w:hAnsi="Times New Roman" w:cs="Times New Roman"/>
        </w:rPr>
        <w:t xml:space="preserve"> Acid analogue has the necessary electronic reactivity (low gap of 4.94 eV) comparable to Hederagenin (4.92 eV), the MM/GBSA analysis reveals it lacks the optimal steric complementarity. Specifically, the Van der Waals contribution (</w:t>
      </w:r>
      <m:oMath>
        <m:r>
          <m:rPr>
            <m:sty m:val="p"/>
          </m:rPr>
          <w:rPr>
            <w:rFonts w:ascii="Cambria Math" w:hAnsi="Cambria Math" w:cs="Times New Roman"/>
          </w:rPr>
          <m:t>Δ</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vdw</m:t>
            </m:r>
          </m:sub>
        </m:sSub>
      </m:oMath>
      <w:r w:rsidRPr="002C4F9C">
        <w:rPr>
          <w:rFonts w:ascii="Times New Roman" w:hAnsi="Times New Roman" w:cs="Times New Roman"/>
        </w:rPr>
        <w:t xml:space="preserve"> ) for Maslinic Acid (-12.33 kcal/mol) is nearly half that of Hederagenin (-22.80 kcal/mol). This indicates that despite high reactivity, Maslinic Acid suffers from suboptimal packing or desolvation penalties that prevent the formation of a high-affinity stable complex.</w:t>
      </w:r>
    </w:p>
    <w:p w14:paraId="7D097203"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3. The authors can simulate the HOMO and LUMO using time-dependent density functional theory (TD), what about the citation?</w:t>
      </w:r>
    </w:p>
    <w:p w14:paraId="6E67E216"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Response: For this study, we focused on the ground-state electronic properties (HOMO-LUMO gap, hardness, softness) to assess chemical reactivity relevant to drug-receptor interactions, rather than excited-state properties typically analyzed via TD-DFT (e.g., for optical properties). We employed standard DFT using the B3LYP functional and def2-SVP basis set6. We have cited the relevant methodologies for this approach, including </w:t>
      </w:r>
      <w:proofErr w:type="gramStart"/>
      <w:r w:rsidRPr="002C4F9C">
        <w:rPr>
          <w:rFonts w:ascii="Times New Roman" w:hAnsi="Times New Roman" w:cs="Times New Roman"/>
        </w:rPr>
        <w:t>the ORCA</w:t>
      </w:r>
      <w:proofErr w:type="gramEnd"/>
      <w:r w:rsidRPr="002C4F9C">
        <w:rPr>
          <w:rFonts w:ascii="Times New Roman" w:hAnsi="Times New Roman" w:cs="Times New Roman"/>
        </w:rPr>
        <w:t xml:space="preserve"> package 7and the B3LYP functional references8.</w:t>
      </w:r>
    </w:p>
    <w:p w14:paraId="22594FB8"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lastRenderedPageBreak/>
        <w:t>4. The DFT section must be elaborated, and Figure 14 must be revised.</w:t>
      </w:r>
    </w:p>
    <w:p w14:paraId="575404B5"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expanded the DFT section to include a more detailed analysis of the Frontier Molecular Orbitals (FMOs).</w:t>
      </w:r>
    </w:p>
    <w:p w14:paraId="4D457CCE" w14:textId="77851947" w:rsidR="0053378B" w:rsidRPr="002C4F9C" w:rsidRDefault="0053378B" w:rsidP="0053378B">
      <w:pPr>
        <w:numPr>
          <w:ilvl w:val="0"/>
          <w:numId w:val="3"/>
        </w:numPr>
        <w:rPr>
          <w:rFonts w:ascii="Times New Roman" w:hAnsi="Times New Roman" w:cs="Times New Roman"/>
        </w:rPr>
      </w:pPr>
      <w:r w:rsidRPr="002C4F9C">
        <w:rPr>
          <w:rFonts w:ascii="Times New Roman" w:hAnsi="Times New Roman" w:cs="Times New Roman"/>
          <w:b/>
          <w:bCs/>
        </w:rPr>
        <w:t>Revisions made:</w:t>
      </w:r>
      <w:r w:rsidRPr="002C4F9C">
        <w:rPr>
          <w:rFonts w:ascii="Times New Roman" w:hAnsi="Times New Roman" w:cs="Times New Roman"/>
        </w:rPr>
        <w:t xml:space="preserve"> We elaborated on the spatial distribution of the orbitals, noting that Hederagenin (Figure 14-B) shows widespread orbital delocalization facilitating charge transfer, whereas the inactive Lupeol analogue (Figure 14-C) shows highly localized lobes correlating with its poor binding.</w:t>
      </w:r>
    </w:p>
    <w:p w14:paraId="7DD1B7A2"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5. Make the MEP section </w:t>
      </w:r>
      <w:proofErr w:type="gramStart"/>
      <w:r w:rsidRPr="002C4F9C">
        <w:rPr>
          <w:rFonts w:ascii="Times New Roman" w:hAnsi="Times New Roman" w:cs="Times New Roman"/>
        </w:rPr>
        <w:t>separately</w:t>
      </w:r>
      <w:proofErr w:type="gramEnd"/>
      <w:r w:rsidRPr="002C4F9C">
        <w:rPr>
          <w:rFonts w:ascii="Times New Roman" w:hAnsi="Times New Roman" w:cs="Times New Roman"/>
        </w:rPr>
        <w:t xml:space="preserve">. </w:t>
      </w:r>
      <w:proofErr w:type="gramStart"/>
      <w:r w:rsidRPr="002C4F9C">
        <w:rPr>
          <w:rFonts w:ascii="Times New Roman" w:hAnsi="Times New Roman" w:cs="Times New Roman"/>
        </w:rPr>
        <w:t>Refer</w:t>
      </w:r>
      <w:proofErr w:type="gramEnd"/>
      <w:r w:rsidRPr="002C4F9C">
        <w:rPr>
          <w:rFonts w:ascii="Times New Roman" w:hAnsi="Times New Roman" w:cs="Times New Roman"/>
        </w:rPr>
        <w:t xml:space="preserve"> the following paper and cite it in the appropriate section.</w:t>
      </w:r>
    </w:p>
    <w:p w14:paraId="717EC905" w14:textId="5FCB9DCF" w:rsidR="0053378B" w:rsidRPr="002C4F9C" w:rsidRDefault="0053378B" w:rsidP="0053378B">
      <w:pPr>
        <w:rPr>
          <w:rFonts w:ascii="Times New Roman" w:hAnsi="Times New Roman" w:cs="Times New Roman"/>
        </w:rPr>
      </w:pPr>
      <w:r w:rsidRPr="002C4F9C">
        <w:rPr>
          <w:rFonts w:ascii="Times New Roman" w:hAnsi="Times New Roman" w:cs="Times New Roman"/>
          <w:b/>
          <w:bCs/>
        </w:rPr>
        <w:t>Response:</w:t>
      </w:r>
      <w:r w:rsidRPr="002C4F9C">
        <w:rPr>
          <w:rFonts w:ascii="Times New Roman" w:hAnsi="Times New Roman" w:cs="Times New Roman"/>
        </w:rPr>
        <w:t xml:space="preserve"> We have created a dedicated subsection titled "Molecular Electrostatic Potential (MEP) Analysis in the Results and included the suggested citations regarding computational protocols for phytochemical bioactivity</w:t>
      </w:r>
      <w:r w:rsidRPr="002C4F9C">
        <w:rPr>
          <w:rFonts w:ascii="Times New Roman" w:hAnsi="Times New Roman" w:cs="Times New Roman"/>
          <w:vertAlign w:val="superscript"/>
        </w:rPr>
        <w:t>11</w:t>
      </w:r>
      <w:r w:rsidRPr="002C4F9C">
        <w:rPr>
          <w:rFonts w:ascii="Times New Roman" w:hAnsi="Times New Roman" w:cs="Times New Roman"/>
        </w:rPr>
        <w:t>.</w:t>
      </w:r>
    </w:p>
    <w:p w14:paraId="27F2B8BB" w14:textId="77777777" w:rsidR="0053378B" w:rsidRPr="002C4F9C" w:rsidRDefault="0053378B" w:rsidP="0053378B">
      <w:pPr>
        <w:numPr>
          <w:ilvl w:val="0"/>
          <w:numId w:val="4"/>
        </w:numPr>
        <w:rPr>
          <w:rFonts w:ascii="Times New Roman" w:hAnsi="Times New Roman" w:cs="Times New Roman"/>
        </w:rPr>
      </w:pPr>
      <w:r w:rsidRPr="002C4F9C">
        <w:rPr>
          <w:rFonts w:ascii="Times New Roman" w:hAnsi="Times New Roman" w:cs="Times New Roman"/>
          <w:b/>
          <w:bCs/>
        </w:rPr>
        <w:t>Citations Added:</w:t>
      </w:r>
    </w:p>
    <w:p w14:paraId="25A5B7C6" w14:textId="3A6817A6" w:rsidR="0053378B" w:rsidRPr="002C4F9C" w:rsidRDefault="0053378B" w:rsidP="0053378B">
      <w:pPr>
        <w:numPr>
          <w:ilvl w:val="1"/>
          <w:numId w:val="4"/>
        </w:numPr>
        <w:rPr>
          <w:rFonts w:ascii="Times New Roman" w:hAnsi="Times New Roman" w:cs="Times New Roman"/>
        </w:rPr>
      </w:pPr>
      <w:r w:rsidRPr="002C4F9C">
        <w:rPr>
          <w:rFonts w:ascii="Times New Roman" w:hAnsi="Times New Roman" w:cs="Times New Roman"/>
        </w:rPr>
        <w:t xml:space="preserve">Vijayan R, et al. (2025) Appl </w:t>
      </w:r>
      <w:proofErr w:type="spellStart"/>
      <w:r w:rsidRPr="002C4F9C">
        <w:rPr>
          <w:rFonts w:ascii="Times New Roman" w:hAnsi="Times New Roman" w:cs="Times New Roman"/>
        </w:rPr>
        <w:t>Biochem</w:t>
      </w:r>
      <w:proofErr w:type="spellEnd"/>
      <w:r w:rsidRPr="002C4F9C">
        <w:rPr>
          <w:rFonts w:ascii="Times New Roman" w:hAnsi="Times New Roman" w:cs="Times New Roman"/>
        </w:rPr>
        <w:t xml:space="preserve"> </w:t>
      </w:r>
      <w:proofErr w:type="spellStart"/>
      <w:r w:rsidRPr="002C4F9C">
        <w:rPr>
          <w:rFonts w:ascii="Times New Roman" w:hAnsi="Times New Roman" w:cs="Times New Roman"/>
        </w:rPr>
        <w:t>Biotechnol</w:t>
      </w:r>
      <w:proofErr w:type="spellEnd"/>
      <w:r w:rsidRPr="002C4F9C">
        <w:rPr>
          <w:rFonts w:ascii="Times New Roman" w:hAnsi="Times New Roman" w:cs="Times New Roman"/>
        </w:rPr>
        <w:t>.</w:t>
      </w:r>
    </w:p>
    <w:p w14:paraId="6187F89A" w14:textId="28661767" w:rsidR="0053378B" w:rsidRPr="002C4F9C" w:rsidRDefault="0053378B" w:rsidP="0053378B">
      <w:pPr>
        <w:numPr>
          <w:ilvl w:val="1"/>
          <w:numId w:val="4"/>
        </w:numPr>
        <w:rPr>
          <w:rFonts w:ascii="Times New Roman" w:hAnsi="Times New Roman" w:cs="Times New Roman"/>
        </w:rPr>
      </w:pPr>
      <w:r w:rsidRPr="002C4F9C">
        <w:rPr>
          <w:rFonts w:ascii="Times New Roman" w:hAnsi="Times New Roman" w:cs="Times New Roman"/>
          <w:lang w:val="sv-SE"/>
        </w:rPr>
        <w:t xml:space="preserve">Ram Kumar A, et al. </w:t>
      </w:r>
      <w:r w:rsidRPr="002C4F9C">
        <w:rPr>
          <w:rFonts w:ascii="Times New Roman" w:hAnsi="Times New Roman" w:cs="Times New Roman"/>
        </w:rPr>
        <w:t>(2025) Journal of Molecular Structure.</w:t>
      </w:r>
    </w:p>
    <w:p w14:paraId="38590556"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6. The MEP discussion is superficial and generic... Which sites </w:t>
      </w:r>
      <w:proofErr w:type="gramStart"/>
      <w:r w:rsidRPr="002C4F9C">
        <w:rPr>
          <w:rFonts w:ascii="Times New Roman" w:hAnsi="Times New Roman" w:cs="Times New Roman"/>
        </w:rPr>
        <w:t>protein</w:t>
      </w:r>
      <w:proofErr w:type="gramEnd"/>
      <w:r w:rsidRPr="002C4F9C">
        <w:rPr>
          <w:rFonts w:ascii="Times New Roman" w:hAnsi="Times New Roman" w:cs="Times New Roman"/>
        </w:rPr>
        <w:t xml:space="preserve"> binding </w:t>
      </w:r>
      <w:proofErr w:type="gramStart"/>
      <w:r w:rsidRPr="002C4F9C">
        <w:rPr>
          <w:rFonts w:ascii="Times New Roman" w:hAnsi="Times New Roman" w:cs="Times New Roman"/>
        </w:rPr>
        <w:t>pocket,</w:t>
      </w:r>
      <w:proofErr w:type="gramEnd"/>
      <w:r w:rsidRPr="002C4F9C">
        <w:rPr>
          <w:rFonts w:ascii="Times New Roman" w:hAnsi="Times New Roman" w:cs="Times New Roman"/>
        </w:rPr>
        <w:t xml:space="preserve"> according to </w:t>
      </w:r>
      <w:proofErr w:type="gramStart"/>
      <w:r w:rsidRPr="002C4F9C">
        <w:rPr>
          <w:rFonts w:ascii="Times New Roman" w:hAnsi="Times New Roman" w:cs="Times New Roman"/>
        </w:rPr>
        <w:t>MEP, are</w:t>
      </w:r>
      <w:proofErr w:type="gramEnd"/>
      <w:r w:rsidRPr="002C4F9C">
        <w:rPr>
          <w:rFonts w:ascii="Times New Roman" w:hAnsi="Times New Roman" w:cs="Times New Roman"/>
        </w:rPr>
        <w:t>?</w:t>
      </w:r>
    </w:p>
    <w:p w14:paraId="4A2E8278"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significantly deepened the MEP discussion to move beyond generic descriptions.</w:t>
      </w:r>
    </w:p>
    <w:p w14:paraId="75500158" w14:textId="248A5AA9" w:rsidR="0053378B" w:rsidRPr="002C4F9C" w:rsidRDefault="0053378B" w:rsidP="0053378B">
      <w:pPr>
        <w:numPr>
          <w:ilvl w:val="0"/>
          <w:numId w:val="5"/>
        </w:numPr>
        <w:rPr>
          <w:rFonts w:ascii="Times New Roman" w:hAnsi="Times New Roman" w:cs="Times New Roman"/>
        </w:rPr>
      </w:pPr>
      <w:r w:rsidRPr="002C4F9C">
        <w:rPr>
          <w:rFonts w:ascii="Times New Roman" w:hAnsi="Times New Roman" w:cs="Times New Roman"/>
          <w:b/>
          <w:bCs/>
        </w:rPr>
        <w:t>Revisions made:</w:t>
      </w:r>
      <w:r w:rsidRPr="002C4F9C">
        <w:rPr>
          <w:rFonts w:ascii="Times New Roman" w:hAnsi="Times New Roman" w:cs="Times New Roman"/>
        </w:rPr>
        <w:t xml:space="preserve"> We identified specific electrostatic complementarity. We now describe how the electron-rich (red/negative) regions of the Hederagenin analogue are spatially aligned to interact with the positively charged ammonium group of Lys106 and the polar hydroxyl group of Thr150 within the active site</w:t>
      </w:r>
      <w:r w:rsidRPr="002C4F9C">
        <w:rPr>
          <w:rFonts w:ascii="Times New Roman" w:hAnsi="Times New Roman" w:cs="Times New Roman"/>
          <w:vertAlign w:val="superscript"/>
        </w:rPr>
        <w:t>14</w:t>
      </w:r>
      <w:r w:rsidRPr="002C4F9C">
        <w:rPr>
          <w:rFonts w:ascii="Times New Roman" w:hAnsi="Times New Roman" w:cs="Times New Roman"/>
        </w:rPr>
        <w:t xml:space="preserve">. This specific alignment explains the significant electrostatic interaction energy ( </w:t>
      </w:r>
      <m:oMath>
        <m:r>
          <m:rPr>
            <m:sty m:val="p"/>
          </m:rPr>
          <w:rPr>
            <w:rFonts w:ascii="Cambria Math" w:hAnsi="Cambria Math" w:cs="Times New Roman"/>
          </w:rPr>
          <m:t>Δ</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elec</m:t>
            </m:r>
          </m:sub>
        </m:sSub>
      </m:oMath>
      <w:r w:rsidRPr="002C4F9C">
        <w:rPr>
          <w:rFonts w:ascii="Times New Roman" w:hAnsi="Times New Roman" w:cs="Times New Roman"/>
        </w:rPr>
        <w:t xml:space="preserve"> = -9.31 kcal/mol) observed in the MM/GBSA data.</w:t>
      </w:r>
    </w:p>
    <w:p w14:paraId="19507F50" w14:textId="77777777" w:rsidR="0053378B" w:rsidRPr="002C4F9C" w:rsidRDefault="0053378B" w:rsidP="0053378B">
      <w:pPr>
        <w:rPr>
          <w:rFonts w:ascii="Times New Roman" w:hAnsi="Times New Roman" w:cs="Times New Roman"/>
          <w:b/>
          <w:bCs/>
        </w:rPr>
      </w:pPr>
      <w:r w:rsidRPr="002C4F9C">
        <w:rPr>
          <w:rFonts w:ascii="Times New Roman" w:hAnsi="Times New Roman" w:cs="Times New Roman"/>
          <w:b/>
          <w:bCs/>
        </w:rPr>
        <w:t>Response to Reviewer 4</w:t>
      </w:r>
    </w:p>
    <w:p w14:paraId="4030DABB"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1. Validation (re-docking RMSD, control ligand... justification) is missing or insufficiently described.</w:t>
      </w:r>
    </w:p>
    <w:p w14:paraId="2D441A64" w14:textId="1BB5297E" w:rsidR="0053378B" w:rsidRPr="002C4F9C" w:rsidRDefault="0053378B" w:rsidP="0053378B">
      <w:pPr>
        <w:rPr>
          <w:rFonts w:ascii="Times New Roman" w:hAnsi="Times New Roman" w:cs="Times New Roman"/>
        </w:rPr>
      </w:pPr>
      <w:r w:rsidRPr="002C4F9C">
        <w:rPr>
          <w:rFonts w:ascii="Times New Roman" w:hAnsi="Times New Roman" w:cs="Times New Roman"/>
          <w:b/>
          <w:bCs/>
        </w:rPr>
        <w:t>Response:</w:t>
      </w:r>
      <w:r w:rsidRPr="002C4F9C">
        <w:rPr>
          <w:rFonts w:ascii="Times New Roman" w:hAnsi="Times New Roman" w:cs="Times New Roman"/>
        </w:rPr>
        <w:t xml:space="preserve"> We have clarified the validation strategy in the section "Validation of the docking protocol".</w:t>
      </w:r>
    </w:p>
    <w:p w14:paraId="28B53BBB" w14:textId="3DD0B3AE" w:rsidR="0053378B" w:rsidRPr="002C4F9C" w:rsidRDefault="0053378B" w:rsidP="0053378B">
      <w:pPr>
        <w:numPr>
          <w:ilvl w:val="0"/>
          <w:numId w:val="6"/>
        </w:numPr>
        <w:rPr>
          <w:rFonts w:ascii="Times New Roman" w:hAnsi="Times New Roman" w:cs="Times New Roman"/>
        </w:rPr>
      </w:pPr>
      <w:r w:rsidRPr="002C4F9C">
        <w:rPr>
          <w:rFonts w:ascii="Times New Roman" w:hAnsi="Times New Roman" w:cs="Times New Roman"/>
          <w:b/>
          <w:bCs/>
        </w:rPr>
        <w:t>Clarification:</w:t>
      </w:r>
      <w:r w:rsidRPr="002C4F9C">
        <w:rPr>
          <w:rFonts w:ascii="Times New Roman" w:hAnsi="Times New Roman" w:cs="Times New Roman"/>
        </w:rPr>
        <w:t xml:space="preserve"> As the target protein (PDB: 1H6U) is an apo-structure without a co-crystallized ligand, standard re-docking RMSD validation was not applicable.</w:t>
      </w:r>
    </w:p>
    <w:p w14:paraId="4BC140C3" w14:textId="6613C503" w:rsidR="0053378B" w:rsidRPr="002C4F9C" w:rsidRDefault="0053378B" w:rsidP="0053378B">
      <w:pPr>
        <w:numPr>
          <w:ilvl w:val="0"/>
          <w:numId w:val="6"/>
        </w:numPr>
        <w:rPr>
          <w:rFonts w:ascii="Times New Roman" w:hAnsi="Times New Roman" w:cs="Times New Roman"/>
        </w:rPr>
      </w:pPr>
      <w:r w:rsidRPr="002C4F9C">
        <w:rPr>
          <w:rFonts w:ascii="Times New Roman" w:hAnsi="Times New Roman" w:cs="Times New Roman"/>
          <w:b/>
          <w:bCs/>
        </w:rPr>
        <w:lastRenderedPageBreak/>
        <w:t>Alternative Validation:</w:t>
      </w:r>
      <w:r w:rsidRPr="002C4F9C">
        <w:rPr>
          <w:rFonts w:ascii="Times New Roman" w:hAnsi="Times New Roman" w:cs="Times New Roman"/>
        </w:rPr>
        <w:t xml:space="preserve"> We validated the protocol by assessing the convergence of "Blind Docking" (whole protein) vs. "Focused Docking" (local search), which consistently identified the same cavity. Furthermore, we used the Minimum Distance analysis from 125 ns MD simulations to confirm that the generated poses remained stable and bound throughout the simulation, serving as a rigorous dynamic validation.</w:t>
      </w:r>
    </w:p>
    <w:p w14:paraId="4FDE4BC9"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2. Please correct all formatting issues in tables and figures.</w:t>
      </w:r>
    </w:p>
    <w:p w14:paraId="1E0E3AC8"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thoroughly reviewed and corrected all tables. Corrupted characters have been removed, and alignment has been fixed.</w:t>
      </w:r>
    </w:p>
    <w:p w14:paraId="22F1DF8D" w14:textId="3534EB5B" w:rsidR="0053378B" w:rsidRPr="002C4F9C" w:rsidRDefault="0053378B" w:rsidP="0053378B">
      <w:pPr>
        <w:numPr>
          <w:ilvl w:val="0"/>
          <w:numId w:val="7"/>
        </w:numPr>
        <w:rPr>
          <w:rFonts w:ascii="Times New Roman" w:hAnsi="Times New Roman" w:cs="Times New Roman"/>
        </w:rPr>
      </w:pPr>
      <w:r w:rsidRPr="002C4F9C">
        <w:rPr>
          <w:rFonts w:ascii="Times New Roman" w:hAnsi="Times New Roman" w:cs="Times New Roman"/>
          <w:b/>
          <w:bCs/>
        </w:rPr>
        <w:t>Revisions:</w:t>
      </w:r>
      <w:r w:rsidRPr="002C4F9C">
        <w:rPr>
          <w:rFonts w:ascii="Times New Roman" w:hAnsi="Times New Roman" w:cs="Times New Roman"/>
        </w:rPr>
        <w:t xml:space="preserve"> Table 1 (Grid coordinates), Table 8 (MM/GBSA components), and Table 9 (DFT properties) have been formatted for clear readability.</w:t>
      </w:r>
    </w:p>
    <w:p w14:paraId="3419F658"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3. RMSD, RMSF, </w:t>
      </w:r>
      <w:proofErr w:type="spellStart"/>
      <w:r w:rsidRPr="002C4F9C">
        <w:rPr>
          <w:rFonts w:ascii="Times New Roman" w:hAnsi="Times New Roman" w:cs="Times New Roman"/>
        </w:rPr>
        <w:t>Rg</w:t>
      </w:r>
      <w:proofErr w:type="spellEnd"/>
      <w:r w:rsidRPr="002C4F9C">
        <w:rPr>
          <w:rFonts w:ascii="Times New Roman" w:hAnsi="Times New Roman" w:cs="Times New Roman"/>
        </w:rPr>
        <w:t>, SASA, and hydrogen bonds should be accompanied by full interpretation. For example, ligand RMSD &gt;3 nm indicates instability.</w:t>
      </w:r>
    </w:p>
    <w:p w14:paraId="630C6ACE"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added detailed interpretations for all stability metrics in the "Molecular Dynamics Simulation" results section.</w:t>
      </w:r>
    </w:p>
    <w:p w14:paraId="6E6A3CB2" w14:textId="77777777" w:rsidR="0053378B" w:rsidRPr="002C4F9C" w:rsidRDefault="0053378B" w:rsidP="0053378B">
      <w:pPr>
        <w:numPr>
          <w:ilvl w:val="0"/>
          <w:numId w:val="8"/>
        </w:numPr>
        <w:rPr>
          <w:rFonts w:ascii="Times New Roman" w:hAnsi="Times New Roman" w:cs="Times New Roman"/>
        </w:rPr>
      </w:pPr>
      <w:r w:rsidRPr="002C4F9C">
        <w:rPr>
          <w:rFonts w:ascii="Times New Roman" w:hAnsi="Times New Roman" w:cs="Times New Roman"/>
          <w:b/>
          <w:bCs/>
        </w:rPr>
        <w:t>Ligand Stability:</w:t>
      </w:r>
      <w:r w:rsidRPr="002C4F9C">
        <w:rPr>
          <w:rFonts w:ascii="Times New Roman" w:hAnsi="Times New Roman" w:cs="Times New Roman"/>
        </w:rPr>
        <w:t xml:space="preserve"> Instead of Ligand RMSD (which can be misleading due to symmetry), we used Minimum Distance analysis, showing stable fluctuations at ~0.15–0.20 nm, proving the ligands did not drift or dissociate</w:t>
      </w:r>
      <w:r w:rsidRPr="002C4F9C">
        <w:rPr>
          <w:rFonts w:ascii="Times New Roman" w:hAnsi="Times New Roman" w:cs="Times New Roman"/>
          <w:vertAlign w:val="superscript"/>
        </w:rPr>
        <w:t>23</w:t>
      </w:r>
      <w:r w:rsidRPr="002C4F9C">
        <w:rPr>
          <w:rFonts w:ascii="Times New Roman" w:hAnsi="Times New Roman" w:cs="Times New Roman"/>
        </w:rPr>
        <w:t>.</w:t>
      </w:r>
    </w:p>
    <w:p w14:paraId="7CA76D06" w14:textId="0A3CE5C2" w:rsidR="0053378B" w:rsidRPr="002C4F9C" w:rsidRDefault="0053378B" w:rsidP="0053378B">
      <w:pPr>
        <w:numPr>
          <w:ilvl w:val="0"/>
          <w:numId w:val="8"/>
        </w:numPr>
        <w:rPr>
          <w:rFonts w:ascii="Times New Roman" w:hAnsi="Times New Roman" w:cs="Times New Roman"/>
        </w:rPr>
      </w:pPr>
      <w:r w:rsidRPr="002C4F9C">
        <w:rPr>
          <w:rFonts w:ascii="Times New Roman" w:hAnsi="Times New Roman" w:cs="Times New Roman"/>
          <w:b/>
          <w:bCs/>
        </w:rPr>
        <w:t>RMSD:</w:t>
      </w:r>
      <w:r w:rsidRPr="002C4F9C">
        <w:rPr>
          <w:rFonts w:ascii="Times New Roman" w:hAnsi="Times New Roman" w:cs="Times New Roman"/>
        </w:rPr>
        <w:t xml:space="preserve"> We noted a plateau at 0.15–0.16 nm, indicating convergence to equilibrium.</w:t>
      </w:r>
    </w:p>
    <w:p w14:paraId="3E0E82D4" w14:textId="1B160B3D" w:rsidR="0053378B" w:rsidRPr="002C4F9C" w:rsidRDefault="0053378B" w:rsidP="0053378B">
      <w:pPr>
        <w:numPr>
          <w:ilvl w:val="0"/>
          <w:numId w:val="8"/>
        </w:numPr>
        <w:rPr>
          <w:rFonts w:ascii="Times New Roman" w:hAnsi="Times New Roman" w:cs="Times New Roman"/>
        </w:rPr>
      </w:pPr>
      <w:proofErr w:type="spellStart"/>
      <w:r w:rsidRPr="002C4F9C">
        <w:rPr>
          <w:rFonts w:ascii="Times New Roman" w:hAnsi="Times New Roman" w:cs="Times New Roman"/>
          <w:b/>
          <w:bCs/>
        </w:rPr>
        <w:t>Rg</w:t>
      </w:r>
      <w:proofErr w:type="spellEnd"/>
      <w:r w:rsidRPr="002C4F9C">
        <w:rPr>
          <w:rFonts w:ascii="Times New Roman" w:hAnsi="Times New Roman" w:cs="Times New Roman"/>
          <w:b/>
          <w:bCs/>
        </w:rPr>
        <w:t xml:space="preserve"> &amp; SASA:</w:t>
      </w:r>
      <w:r w:rsidRPr="002C4F9C">
        <w:rPr>
          <w:rFonts w:ascii="Times New Roman" w:hAnsi="Times New Roman" w:cs="Times New Roman"/>
        </w:rPr>
        <w:t xml:space="preserve"> We confirmed the protein maintained its compact globular fold (</w:t>
      </w:r>
      <w:proofErr w:type="spellStart"/>
      <w:r w:rsidRPr="002C4F9C">
        <w:rPr>
          <w:rFonts w:ascii="Times New Roman" w:hAnsi="Times New Roman" w:cs="Times New Roman"/>
        </w:rPr>
        <w:t>Rg</w:t>
      </w:r>
      <w:proofErr w:type="spellEnd"/>
      <w:r w:rsidRPr="002C4F9C">
        <w:rPr>
          <w:rFonts w:ascii="Times New Roman" w:hAnsi="Times New Roman" w:cs="Times New Roman"/>
        </w:rPr>
        <w:t xml:space="preserve"> ~2.45nm) and stable surface area (~150-160 nm²), ruling out unfolding.</w:t>
      </w:r>
    </w:p>
    <w:p w14:paraId="4DBDDE66"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4. Please explain the role of key residues (e.g., Thr150, Lys106, Gln40, Asp172). Why are these residues important?</w:t>
      </w:r>
    </w:p>
    <w:p w14:paraId="0809D1AA" w14:textId="73FB0861" w:rsidR="0053378B" w:rsidRPr="002C4F9C" w:rsidRDefault="0053378B" w:rsidP="0053378B">
      <w:pPr>
        <w:rPr>
          <w:rFonts w:ascii="Times New Roman" w:hAnsi="Times New Roman" w:cs="Times New Roman"/>
        </w:rPr>
      </w:pPr>
      <w:r w:rsidRPr="002C4F9C">
        <w:rPr>
          <w:rFonts w:ascii="Times New Roman" w:hAnsi="Times New Roman" w:cs="Times New Roman"/>
          <w:b/>
          <w:bCs/>
        </w:rPr>
        <w:t>Response:</w:t>
      </w:r>
      <w:r w:rsidRPr="002C4F9C">
        <w:rPr>
          <w:rFonts w:ascii="Times New Roman" w:hAnsi="Times New Roman" w:cs="Times New Roman"/>
        </w:rPr>
        <w:t xml:space="preserve"> We have added a section "Analysis of Key Binding Residues" to explain the biological relevance of these interactions.</w:t>
      </w:r>
    </w:p>
    <w:p w14:paraId="7BBD1BBB" w14:textId="39F9494A" w:rsidR="0053378B" w:rsidRPr="002C4F9C" w:rsidRDefault="0053378B" w:rsidP="0053378B">
      <w:pPr>
        <w:numPr>
          <w:ilvl w:val="0"/>
          <w:numId w:val="9"/>
        </w:numPr>
        <w:rPr>
          <w:rFonts w:ascii="Times New Roman" w:hAnsi="Times New Roman" w:cs="Times New Roman"/>
        </w:rPr>
      </w:pPr>
      <w:r w:rsidRPr="002C4F9C">
        <w:rPr>
          <w:rFonts w:ascii="Times New Roman" w:hAnsi="Times New Roman" w:cs="Times New Roman"/>
          <w:b/>
          <w:bCs/>
        </w:rPr>
        <w:t>Revisions made:</w:t>
      </w:r>
      <w:r w:rsidRPr="002C4F9C">
        <w:rPr>
          <w:rFonts w:ascii="Times New Roman" w:hAnsi="Times New Roman" w:cs="Times New Roman"/>
        </w:rPr>
        <w:t xml:space="preserve"> We explain that residues like Lys106, Thr150, and Gln40 act as primary anchors in the concave face of the Leucine-Rich Repeat (LRR) domain. This is the canonical interface for host cell recognition; thus, binding here physically obstructs the virulence mechanism.</w:t>
      </w:r>
    </w:p>
    <w:p w14:paraId="20DDBEE2"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 xml:space="preserve">5. Add a comparison of binding affinity among </w:t>
      </w:r>
      <w:proofErr w:type="gramStart"/>
      <w:r w:rsidRPr="002C4F9C">
        <w:rPr>
          <w:rFonts w:ascii="Times New Roman" w:hAnsi="Times New Roman" w:cs="Times New Roman"/>
        </w:rPr>
        <w:t>analogues, and</w:t>
      </w:r>
      <w:proofErr w:type="gramEnd"/>
      <w:r w:rsidRPr="002C4F9C">
        <w:rPr>
          <w:rFonts w:ascii="Times New Roman" w:hAnsi="Times New Roman" w:cs="Times New Roman"/>
        </w:rPr>
        <w:t xml:space="preserve"> discuss which energy components drive binding.</w:t>
      </w:r>
    </w:p>
    <w:p w14:paraId="75F0B7F1"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included a detailed comparison in the "Binding Free Energy (MM/GBSA) Calculation" section.</w:t>
      </w:r>
    </w:p>
    <w:p w14:paraId="2ECDA292" w14:textId="5A1CDF48" w:rsidR="0053378B" w:rsidRPr="002C4F9C" w:rsidRDefault="0053378B" w:rsidP="0053378B">
      <w:pPr>
        <w:numPr>
          <w:ilvl w:val="0"/>
          <w:numId w:val="10"/>
        </w:numPr>
        <w:rPr>
          <w:rFonts w:ascii="Times New Roman" w:hAnsi="Times New Roman" w:cs="Times New Roman"/>
        </w:rPr>
      </w:pPr>
      <w:r w:rsidRPr="002C4F9C">
        <w:rPr>
          <w:rFonts w:ascii="Times New Roman" w:hAnsi="Times New Roman" w:cs="Times New Roman"/>
          <w:b/>
          <w:bCs/>
        </w:rPr>
        <w:lastRenderedPageBreak/>
        <w:t>Analysis:</w:t>
      </w:r>
      <w:r w:rsidRPr="002C4F9C">
        <w:rPr>
          <w:rFonts w:ascii="Times New Roman" w:hAnsi="Times New Roman" w:cs="Times New Roman"/>
        </w:rPr>
        <w:t xml:space="preserve"> We compare the breakdown of energies in Table 8, highlighting that Hederagenin's superior binding (-17.08 kcal/mol) is driven by a potent combination of Van der Waals (</w:t>
      </w:r>
      <m:oMath>
        <m:r>
          <m:rPr>
            <m:sty m:val="p"/>
          </m:rPr>
          <w:rPr>
            <w:rFonts w:ascii="Cambria Math" w:hAnsi="Cambria Math" w:cs="Times New Roman"/>
          </w:rPr>
          <m:t>Δ</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vdw</m:t>
            </m:r>
          </m:sub>
        </m:sSub>
      </m:oMath>
      <w:r w:rsidR="0020421B" w:rsidRPr="002C4F9C">
        <w:rPr>
          <w:rFonts w:ascii="Times New Roman" w:hAnsi="Times New Roman" w:cs="Times New Roman"/>
        </w:rPr>
        <w:t xml:space="preserve"> </w:t>
      </w:r>
      <w:r w:rsidRPr="002C4F9C">
        <w:rPr>
          <w:rFonts w:ascii="Times New Roman" w:hAnsi="Times New Roman" w:cs="Times New Roman"/>
        </w:rPr>
        <w:t>= -22.80 kcal/mol) and Electrostatics (</w:t>
      </w:r>
      <m:oMath>
        <m:r>
          <m:rPr>
            <m:sty m:val="p"/>
          </m:rPr>
          <w:rPr>
            <w:rFonts w:ascii="Cambria Math" w:hAnsi="Cambria Math" w:cs="Times New Roman"/>
          </w:rPr>
          <m:t>Δ</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elec</m:t>
            </m:r>
          </m:sub>
        </m:sSub>
      </m:oMath>
      <w:r w:rsidRPr="002C4F9C">
        <w:rPr>
          <w:rFonts w:ascii="Times New Roman" w:hAnsi="Times New Roman" w:cs="Times New Roman"/>
        </w:rPr>
        <w:t xml:space="preserve"> = -9.31 kcal/mol). In contrast, the Lupeol analogue's weak binding (-9.35 kcal/mol) corresponds to its failure to form stable hydrogen bonds.</w:t>
      </w:r>
    </w:p>
    <w:p w14:paraId="21E284FF"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6. Please Discuss the relationship between HOMO-LUMO gap, electrophilicity, stability, and reactivity.</w:t>
      </w:r>
    </w:p>
    <w:p w14:paraId="0A14E8D5"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Response: We have discussed this relationship in the "Density Functional Theory (DFT) Analysis" section.</w:t>
      </w:r>
    </w:p>
    <w:p w14:paraId="5F34DDB6" w14:textId="628109ED" w:rsidR="0053378B" w:rsidRPr="002C4F9C" w:rsidRDefault="0053378B" w:rsidP="0053378B">
      <w:pPr>
        <w:numPr>
          <w:ilvl w:val="0"/>
          <w:numId w:val="11"/>
        </w:numPr>
        <w:rPr>
          <w:rFonts w:ascii="Times New Roman" w:hAnsi="Times New Roman" w:cs="Times New Roman"/>
        </w:rPr>
      </w:pPr>
      <w:r w:rsidRPr="002C4F9C">
        <w:rPr>
          <w:rFonts w:ascii="Times New Roman" w:hAnsi="Times New Roman" w:cs="Times New Roman"/>
          <w:b/>
          <w:bCs/>
        </w:rPr>
        <w:t>Revisions made:</w:t>
      </w:r>
      <w:r w:rsidRPr="002C4F9C">
        <w:rPr>
          <w:rFonts w:ascii="Times New Roman" w:hAnsi="Times New Roman" w:cs="Times New Roman"/>
        </w:rPr>
        <w:t xml:space="preserve"> We explicitly state that a smaller HOMO-LUMO gap signifies a "softer," more reactive molecule that is a better electron donor. We correlate this with the binding results: Lupeol has the largest gap (7.25 eV) and weakest binding, while Hederagenin has the smallest gap (4.92 eV) and strongest binding.</w:t>
      </w:r>
    </w:p>
    <w:p w14:paraId="0A2A8103" w14:textId="77777777" w:rsidR="0053378B" w:rsidRPr="002C4F9C" w:rsidRDefault="0053378B" w:rsidP="0053378B">
      <w:pPr>
        <w:rPr>
          <w:rFonts w:ascii="Times New Roman" w:hAnsi="Times New Roman" w:cs="Times New Roman"/>
        </w:rPr>
      </w:pPr>
      <w:r w:rsidRPr="002C4F9C">
        <w:rPr>
          <w:rFonts w:ascii="Times New Roman" w:hAnsi="Times New Roman" w:cs="Times New Roman"/>
        </w:rPr>
        <w:t>7. The manuscript requires extensive English editing.</w:t>
      </w:r>
    </w:p>
    <w:p w14:paraId="1BA4072A" w14:textId="7EF81B27" w:rsidR="0053378B" w:rsidRPr="002C4F9C" w:rsidRDefault="0053378B" w:rsidP="0053378B">
      <w:pPr>
        <w:rPr>
          <w:rFonts w:ascii="Times New Roman" w:hAnsi="Times New Roman" w:cs="Times New Roman"/>
        </w:rPr>
      </w:pPr>
      <w:r w:rsidRPr="002C4F9C">
        <w:rPr>
          <w:rFonts w:ascii="Times New Roman" w:hAnsi="Times New Roman" w:cs="Times New Roman"/>
          <w:b/>
          <w:bCs/>
        </w:rPr>
        <w:t>Response:</w:t>
      </w:r>
      <w:r w:rsidRPr="002C4F9C">
        <w:rPr>
          <w:rFonts w:ascii="Times New Roman" w:hAnsi="Times New Roman" w:cs="Times New Roman"/>
        </w:rPr>
        <w:t xml:space="preserve"> The manuscript has undergone extensive language refinement to correct technical parameters and improve logical flow and clarity.</w:t>
      </w:r>
    </w:p>
    <w:p w14:paraId="40C35F22" w14:textId="77777777" w:rsidR="00833AAA" w:rsidRPr="002C4F9C" w:rsidRDefault="00833AAA">
      <w:pPr>
        <w:rPr>
          <w:rFonts w:ascii="Times New Roman" w:hAnsi="Times New Roman" w:cs="Times New Roman"/>
        </w:rPr>
      </w:pPr>
    </w:p>
    <w:sectPr w:rsidR="00833AAA" w:rsidRPr="002C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0CD"/>
    <w:multiLevelType w:val="multilevel"/>
    <w:tmpl w:val="51D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E5949"/>
    <w:multiLevelType w:val="multilevel"/>
    <w:tmpl w:val="00E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99C"/>
    <w:multiLevelType w:val="multilevel"/>
    <w:tmpl w:val="887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06DC0"/>
    <w:multiLevelType w:val="multilevel"/>
    <w:tmpl w:val="64A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14285"/>
    <w:multiLevelType w:val="multilevel"/>
    <w:tmpl w:val="782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D5A34"/>
    <w:multiLevelType w:val="multilevel"/>
    <w:tmpl w:val="775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1358B"/>
    <w:multiLevelType w:val="multilevel"/>
    <w:tmpl w:val="CDD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32A6B"/>
    <w:multiLevelType w:val="multilevel"/>
    <w:tmpl w:val="141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81B78"/>
    <w:multiLevelType w:val="multilevel"/>
    <w:tmpl w:val="0C7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E5F5E"/>
    <w:multiLevelType w:val="multilevel"/>
    <w:tmpl w:val="E39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D62AE"/>
    <w:multiLevelType w:val="multilevel"/>
    <w:tmpl w:val="081EE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801504">
    <w:abstractNumId w:val="9"/>
  </w:num>
  <w:num w:numId="2" w16cid:durableId="1155880019">
    <w:abstractNumId w:val="6"/>
  </w:num>
  <w:num w:numId="3" w16cid:durableId="627931527">
    <w:abstractNumId w:val="3"/>
  </w:num>
  <w:num w:numId="4" w16cid:durableId="352194904">
    <w:abstractNumId w:val="10"/>
  </w:num>
  <w:num w:numId="5" w16cid:durableId="1875535017">
    <w:abstractNumId w:val="0"/>
  </w:num>
  <w:num w:numId="6" w16cid:durableId="934291506">
    <w:abstractNumId w:val="8"/>
  </w:num>
  <w:num w:numId="7" w16cid:durableId="1495952648">
    <w:abstractNumId w:val="5"/>
  </w:num>
  <w:num w:numId="8" w16cid:durableId="1688291074">
    <w:abstractNumId w:val="2"/>
  </w:num>
  <w:num w:numId="9" w16cid:durableId="170414700">
    <w:abstractNumId w:val="7"/>
  </w:num>
  <w:num w:numId="10" w16cid:durableId="768887092">
    <w:abstractNumId w:val="4"/>
  </w:num>
  <w:num w:numId="11" w16cid:durableId="1958901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D9"/>
    <w:rsid w:val="00182216"/>
    <w:rsid w:val="0020421B"/>
    <w:rsid w:val="002513D9"/>
    <w:rsid w:val="002C4F9C"/>
    <w:rsid w:val="0053378B"/>
    <w:rsid w:val="00833AAA"/>
    <w:rsid w:val="00906FB5"/>
    <w:rsid w:val="00A345D3"/>
    <w:rsid w:val="00AB62AE"/>
    <w:rsid w:val="00C63DE5"/>
    <w:rsid w:val="00F7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4DBF"/>
  <w15:chartTrackingRefBased/>
  <w15:docId w15:val="{DD9C16A3-1B1D-4A25-8154-7A8D04D4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3D9"/>
    <w:rPr>
      <w:rFonts w:eastAsiaTheme="majorEastAsia" w:cstheme="majorBidi"/>
      <w:color w:val="272727" w:themeColor="text1" w:themeTint="D8"/>
    </w:rPr>
  </w:style>
  <w:style w:type="paragraph" w:styleId="Title">
    <w:name w:val="Title"/>
    <w:basedOn w:val="Normal"/>
    <w:next w:val="Normal"/>
    <w:link w:val="TitleChar"/>
    <w:uiPriority w:val="10"/>
    <w:qFormat/>
    <w:rsid w:val="0025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3D9"/>
    <w:pPr>
      <w:spacing w:before="160"/>
      <w:jc w:val="center"/>
    </w:pPr>
    <w:rPr>
      <w:i/>
      <w:iCs/>
      <w:color w:val="404040" w:themeColor="text1" w:themeTint="BF"/>
    </w:rPr>
  </w:style>
  <w:style w:type="character" w:customStyle="1" w:styleId="QuoteChar">
    <w:name w:val="Quote Char"/>
    <w:basedOn w:val="DefaultParagraphFont"/>
    <w:link w:val="Quote"/>
    <w:uiPriority w:val="29"/>
    <w:rsid w:val="002513D9"/>
    <w:rPr>
      <w:i/>
      <w:iCs/>
      <w:color w:val="404040" w:themeColor="text1" w:themeTint="BF"/>
    </w:rPr>
  </w:style>
  <w:style w:type="paragraph" w:styleId="ListParagraph">
    <w:name w:val="List Paragraph"/>
    <w:basedOn w:val="Normal"/>
    <w:uiPriority w:val="34"/>
    <w:qFormat/>
    <w:rsid w:val="002513D9"/>
    <w:pPr>
      <w:ind w:left="720"/>
      <w:contextualSpacing/>
    </w:pPr>
  </w:style>
  <w:style w:type="character" w:styleId="IntenseEmphasis">
    <w:name w:val="Intense Emphasis"/>
    <w:basedOn w:val="DefaultParagraphFont"/>
    <w:uiPriority w:val="21"/>
    <w:qFormat/>
    <w:rsid w:val="002513D9"/>
    <w:rPr>
      <w:i/>
      <w:iCs/>
      <w:color w:val="2F5496" w:themeColor="accent1" w:themeShade="BF"/>
    </w:rPr>
  </w:style>
  <w:style w:type="paragraph" w:styleId="IntenseQuote">
    <w:name w:val="Intense Quote"/>
    <w:basedOn w:val="Normal"/>
    <w:next w:val="Normal"/>
    <w:link w:val="IntenseQuoteChar"/>
    <w:uiPriority w:val="30"/>
    <w:qFormat/>
    <w:rsid w:val="00251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3D9"/>
    <w:rPr>
      <w:i/>
      <w:iCs/>
      <w:color w:val="2F5496" w:themeColor="accent1" w:themeShade="BF"/>
    </w:rPr>
  </w:style>
  <w:style w:type="character" w:styleId="IntenseReference">
    <w:name w:val="Intense Reference"/>
    <w:basedOn w:val="DefaultParagraphFont"/>
    <w:uiPriority w:val="32"/>
    <w:qFormat/>
    <w:rsid w:val="002513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Dewangan</dc:creator>
  <cp:keywords/>
  <dc:description/>
  <cp:lastModifiedBy>Ayush Kumar Dewangan</cp:lastModifiedBy>
  <cp:revision>6</cp:revision>
  <dcterms:created xsi:type="dcterms:W3CDTF">2025-11-21T01:30:00Z</dcterms:created>
  <dcterms:modified xsi:type="dcterms:W3CDTF">2025-11-21T17:29:00Z</dcterms:modified>
</cp:coreProperties>
</file>