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815C2" w14:textId="77777777" w:rsidR="00C64FAF" w:rsidRPr="007E5190" w:rsidRDefault="00C64FAF" w:rsidP="00C64FAF">
      <w:pPr>
        <w:pStyle w:val="Paper-tirle"/>
        <w:pBdr>
          <w:bottom w:val="none" w:sz="0" w:space="0" w:color="auto"/>
        </w:pBdr>
      </w:pPr>
      <w:r w:rsidRPr="007E5190">
        <w:t xml:space="preserve">Targeting a Key Virulence Factor in </w:t>
      </w:r>
      <w:r w:rsidRPr="007E5190">
        <w:rPr>
          <w:i/>
          <w:iCs/>
        </w:rPr>
        <w:t>Listeria monocytogenes</w:t>
      </w:r>
      <w:r w:rsidRPr="007E5190">
        <w:t xml:space="preserve">: An </w:t>
      </w:r>
      <w:proofErr w:type="gramStart"/>
      <w:r w:rsidRPr="007E5190">
        <w:rPr>
          <w:i/>
          <w:iCs/>
        </w:rPr>
        <w:t>In</w:t>
      </w:r>
      <w:proofErr w:type="gramEnd"/>
      <w:r w:rsidRPr="007E5190">
        <w:rPr>
          <w:i/>
          <w:iCs/>
        </w:rPr>
        <w:t xml:space="preserve"> Silico</w:t>
      </w:r>
      <w:r w:rsidRPr="007E5190">
        <w:t xml:space="preserve"> Discovery and Pharmacokinetic Profiling of Novel Internalin H Inhibitors</w:t>
      </w:r>
    </w:p>
    <w:p w14:paraId="4C87793C" w14:textId="77777777" w:rsidR="00C64FAF" w:rsidRPr="007E5190" w:rsidRDefault="00C64FAF" w:rsidP="00C64FAF">
      <w:pPr>
        <w:pStyle w:val="Paper-author"/>
        <w:pBdr>
          <w:bottom w:val="none" w:sz="0" w:space="0" w:color="auto"/>
        </w:pBdr>
        <w:rPr>
          <w:lang w:val="en-US"/>
        </w:rPr>
      </w:pPr>
      <w:r w:rsidRPr="007E5190">
        <w:rPr>
          <w:lang w:val="en-US"/>
        </w:rPr>
        <w:t xml:space="preserve">Ayush Kumar Dewangan </w:t>
      </w:r>
      <w:r w:rsidRPr="007E5190">
        <w:rPr>
          <w:vertAlign w:val="superscript"/>
          <w:lang w:val="en-US"/>
        </w:rPr>
        <w:t>a</w:t>
      </w:r>
      <w:r w:rsidRPr="007E5190">
        <w:rPr>
          <w:lang w:val="en-US"/>
        </w:rPr>
        <w:t xml:space="preserve">, Usha Chouhan </w:t>
      </w:r>
      <w:r w:rsidRPr="007E5190">
        <w:rPr>
          <w:vertAlign w:val="superscript"/>
          <w:lang w:val="en-US"/>
        </w:rPr>
        <w:t>b</w:t>
      </w:r>
      <w:r w:rsidRPr="007E5190">
        <w:rPr>
          <w:lang w:val="en-US"/>
        </w:rPr>
        <w:t xml:space="preserve">, </w:t>
      </w:r>
      <w:proofErr w:type="spellStart"/>
      <w:r w:rsidRPr="007E5190">
        <w:rPr>
          <w:lang w:val="en-US"/>
        </w:rPr>
        <w:t>Deedhiti</w:t>
      </w:r>
      <w:proofErr w:type="spellEnd"/>
      <w:r w:rsidRPr="007E5190">
        <w:rPr>
          <w:lang w:val="en-US"/>
        </w:rPr>
        <w:t xml:space="preserve"> Mistry </w:t>
      </w:r>
      <w:r w:rsidRPr="007E5190">
        <w:rPr>
          <w:vertAlign w:val="superscript"/>
          <w:lang w:val="en-US"/>
        </w:rPr>
        <w:t>c</w:t>
      </w:r>
    </w:p>
    <w:p w14:paraId="0442D0C3" w14:textId="77777777" w:rsidR="00C64FAF" w:rsidRPr="007E5190" w:rsidRDefault="00C64FAF" w:rsidP="00C64FAF">
      <w:pPr>
        <w:pStyle w:val="Paper-affiliations"/>
        <w:spacing w:after="0"/>
      </w:pPr>
      <w:r w:rsidRPr="007E5190">
        <w:rPr>
          <w:vertAlign w:val="superscript"/>
        </w:rPr>
        <w:t xml:space="preserve">a </w:t>
      </w:r>
      <w:r w:rsidRPr="007E5190">
        <w:t>Student, Amity Institute of Biotechnology, Amity University Chhattisgarh, Raipur, India</w:t>
      </w:r>
    </w:p>
    <w:p w14:paraId="124F73C7" w14:textId="77777777" w:rsidR="00C64FAF" w:rsidRPr="007E5190" w:rsidRDefault="00C64FAF" w:rsidP="00C64FAF">
      <w:pPr>
        <w:pStyle w:val="Paper-affiliations"/>
        <w:spacing w:after="0"/>
      </w:pPr>
      <w:r w:rsidRPr="007E5190">
        <w:rPr>
          <w:vertAlign w:val="superscript"/>
        </w:rPr>
        <w:t xml:space="preserve">b </w:t>
      </w:r>
      <w:r w:rsidRPr="007E5190">
        <w:t>Professor, Department of Mathematics, Bioinformatics and Computer Applications, Maulana Azad National Institute of Technology, Bhopal, Madhya Pradesh, India</w:t>
      </w:r>
    </w:p>
    <w:p w14:paraId="0D194FD8" w14:textId="77777777" w:rsidR="00C64FAF" w:rsidRPr="007E5190" w:rsidRDefault="00C64FAF" w:rsidP="00C64FAF">
      <w:pPr>
        <w:pStyle w:val="Paper-affiliations"/>
        <w:spacing w:after="0"/>
      </w:pPr>
      <w:r w:rsidRPr="007E5190">
        <w:rPr>
          <w:vertAlign w:val="superscript"/>
        </w:rPr>
        <w:t xml:space="preserve">c </w:t>
      </w:r>
      <w:r w:rsidRPr="007E5190">
        <w:t>Research Scholar, Department of Mathematics, Bioinformatics and Computer Applications, Maulana Azad National Institute of Technology, Bhopal, Madhya Pradesh, India</w:t>
      </w:r>
    </w:p>
    <w:p w14:paraId="1F18CDF0" w14:textId="77777777" w:rsidR="00C64FAF" w:rsidRPr="007E5190" w:rsidRDefault="00C64FAF" w:rsidP="00C64FAF">
      <w:pPr>
        <w:pStyle w:val="Paper-affiliations"/>
        <w:spacing w:after="0"/>
      </w:pPr>
    </w:p>
    <w:p w14:paraId="15A13A12" w14:textId="77777777" w:rsidR="00C64FAF" w:rsidRPr="007E5190" w:rsidRDefault="00C64FAF" w:rsidP="00C64FAF">
      <w:pPr>
        <w:spacing w:after="0" w:line="240" w:lineRule="auto"/>
        <w:jc w:val="both"/>
        <w:rPr>
          <w:rFonts w:ascii="Times New Roman" w:hAnsi="Times New Roman" w:cs="Times New Roman"/>
          <w:b/>
          <w:bCs/>
          <w:i/>
          <w:iCs/>
        </w:rPr>
      </w:pPr>
      <w:r w:rsidRPr="007E5190">
        <w:rPr>
          <w:rFonts w:ascii="Times New Roman" w:hAnsi="Times New Roman" w:cs="Times New Roman"/>
          <w:b/>
          <w:bCs/>
          <w:i/>
          <w:iCs/>
        </w:rPr>
        <w:t xml:space="preserve">Corresponding author </w:t>
      </w:r>
    </w:p>
    <w:p w14:paraId="653D7BC2" w14:textId="77777777" w:rsidR="00C64FAF" w:rsidRPr="007E5190" w:rsidRDefault="00C64FAF" w:rsidP="00C64FAF">
      <w:pPr>
        <w:spacing w:after="0" w:line="240" w:lineRule="auto"/>
        <w:jc w:val="both"/>
        <w:rPr>
          <w:rFonts w:ascii="Times New Roman" w:hAnsi="Times New Roman" w:cs="Times New Roman"/>
        </w:rPr>
      </w:pPr>
      <w:r w:rsidRPr="007E5190">
        <w:rPr>
          <w:rFonts w:ascii="Times New Roman" w:hAnsi="Times New Roman" w:cs="Times New Roman"/>
          <w:vertAlign w:val="superscript"/>
        </w:rPr>
        <w:t xml:space="preserve">b </w:t>
      </w:r>
      <w:r w:rsidRPr="007E5190">
        <w:rPr>
          <w:rFonts w:ascii="Times New Roman" w:hAnsi="Times New Roman" w:cs="Times New Roman"/>
        </w:rPr>
        <w:t>Usha Chouhan</w:t>
      </w:r>
    </w:p>
    <w:p w14:paraId="02C1BCAA" w14:textId="77777777" w:rsidR="00C64FAF" w:rsidRPr="007E5190" w:rsidRDefault="00C64FAF" w:rsidP="00C64FAF">
      <w:pPr>
        <w:spacing w:after="0" w:line="240" w:lineRule="auto"/>
        <w:jc w:val="both"/>
        <w:rPr>
          <w:rFonts w:ascii="Times New Roman" w:hAnsi="Times New Roman" w:cs="Times New Roman"/>
        </w:rPr>
      </w:pPr>
      <w:hyperlink r:id="rId8" w:history="1">
        <w:r w:rsidRPr="007E5190">
          <w:rPr>
            <w:rStyle w:val="Hyperlink"/>
            <w:rFonts w:ascii="Times New Roman" w:hAnsi="Times New Roman" w:cs="Times New Roman"/>
          </w:rPr>
          <w:t>chouhanu@manit.ac.in</w:t>
        </w:r>
      </w:hyperlink>
    </w:p>
    <w:p w14:paraId="452DCD95" w14:textId="77777777" w:rsidR="00C64FAF" w:rsidRPr="007E5190" w:rsidRDefault="00C64FAF" w:rsidP="00D75BEE">
      <w:pPr>
        <w:jc w:val="both"/>
        <w:rPr>
          <w:rFonts w:ascii="Times New Roman" w:hAnsi="Times New Roman" w:cs="Times New Roman"/>
          <w:color w:val="0D0D0D" w:themeColor="text1" w:themeTint="F2"/>
        </w:rPr>
      </w:pPr>
    </w:p>
    <w:p w14:paraId="0F944F98" w14:textId="0E599FBF" w:rsidR="00F307BD" w:rsidRPr="007E5190" w:rsidRDefault="00F62A5D" w:rsidP="00DD06FA">
      <w:pPr>
        <w:pStyle w:val="Heading1"/>
        <w:rPr>
          <w:rFonts w:cs="Times New Roman"/>
          <w:szCs w:val="28"/>
        </w:rPr>
      </w:pPr>
      <w:r w:rsidRPr="007E5190">
        <w:rPr>
          <w:rFonts w:cs="Times New Roman"/>
          <w:szCs w:val="28"/>
        </w:rPr>
        <w:t>ABSTRACT</w:t>
      </w:r>
    </w:p>
    <w:p w14:paraId="3B9F8F25" w14:textId="3770B435" w:rsidR="00227EE6" w:rsidRPr="007E5190" w:rsidRDefault="00227EE6" w:rsidP="00227EE6">
      <w:pPr>
        <w:jc w:val="both"/>
        <w:rPr>
          <w:rFonts w:ascii="Times New Roman" w:hAnsi="Times New Roman" w:cs="Times New Roman"/>
          <w:color w:val="0D0D0D" w:themeColor="text1" w:themeTint="F2"/>
        </w:rPr>
      </w:pPr>
      <w:r w:rsidRPr="007E5190">
        <w:rPr>
          <w:rFonts w:ascii="Times New Roman" w:hAnsi="Times New Roman" w:cs="Times New Roman"/>
          <w:i/>
          <w:iCs/>
          <w:color w:val="0D0D0D" w:themeColor="text1" w:themeTint="F2"/>
        </w:rPr>
        <w:t>Listeria monocytogenes</w:t>
      </w:r>
      <w:r w:rsidRPr="007E5190">
        <w:rPr>
          <w:rFonts w:ascii="Times New Roman" w:hAnsi="Times New Roman" w:cs="Times New Roman"/>
          <w:color w:val="0D0D0D" w:themeColor="text1" w:themeTint="F2"/>
        </w:rPr>
        <w:t xml:space="preserve"> is a lethal food-borne bacterium with high mortality rates (20–30%) and growing antimicrobial resistance, highlighting the critical need for novel therapeutic interventions. This study explores an anti-virulence therapy neutralizing the bacterium by disrupting the Internalin H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xml:space="preserve">) surface protein, a major determinant of immune evasion, providing </w:t>
      </w:r>
      <w:r w:rsidR="00B81388" w:rsidRPr="007E5190">
        <w:rPr>
          <w:rFonts w:ascii="Times New Roman" w:hAnsi="Times New Roman" w:cs="Times New Roman"/>
          <w:color w:val="0D0D0D" w:themeColor="text1" w:themeTint="F2"/>
        </w:rPr>
        <w:t>an</w:t>
      </w:r>
      <w:r w:rsidRPr="007E5190">
        <w:rPr>
          <w:rFonts w:ascii="Times New Roman" w:hAnsi="Times New Roman" w:cs="Times New Roman"/>
          <w:color w:val="0D0D0D" w:themeColor="text1" w:themeTint="F2"/>
        </w:rPr>
        <w:t xml:space="preserve"> alternative substitute to conventional antibiotics.</w:t>
      </w:r>
    </w:p>
    <w:p w14:paraId="37F9B479" w14:textId="77777777" w:rsidR="00F25C91" w:rsidRPr="007E5190" w:rsidRDefault="00F25C91" w:rsidP="00227EE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To validate and rank the potential candidates, a </w:t>
      </w:r>
      <w:r w:rsidR="00227EE6" w:rsidRPr="007E5190">
        <w:rPr>
          <w:rFonts w:ascii="Times New Roman" w:hAnsi="Times New Roman" w:cs="Times New Roman"/>
          <w:color w:val="0D0D0D" w:themeColor="text1" w:themeTint="F2"/>
        </w:rPr>
        <w:t>multi-</w:t>
      </w:r>
      <w:proofErr w:type="gramStart"/>
      <w:r w:rsidR="00227EE6" w:rsidRPr="007E5190">
        <w:rPr>
          <w:rFonts w:ascii="Times New Roman" w:hAnsi="Times New Roman" w:cs="Times New Roman"/>
          <w:color w:val="0D0D0D" w:themeColor="text1" w:themeTint="F2"/>
        </w:rPr>
        <w:t xml:space="preserve">layered </w:t>
      </w:r>
      <w:r w:rsidR="00227EE6" w:rsidRPr="007E5190">
        <w:rPr>
          <w:rFonts w:ascii="Times New Roman" w:hAnsi="Times New Roman" w:cs="Times New Roman"/>
          <w:i/>
          <w:iCs/>
          <w:color w:val="0D0D0D" w:themeColor="text1" w:themeTint="F2"/>
        </w:rPr>
        <w:t>in</w:t>
      </w:r>
      <w:proofErr w:type="gramEnd"/>
      <w:r w:rsidR="00227EE6" w:rsidRPr="007E5190">
        <w:rPr>
          <w:rFonts w:ascii="Times New Roman" w:hAnsi="Times New Roman" w:cs="Times New Roman"/>
          <w:i/>
          <w:iCs/>
          <w:color w:val="0D0D0D" w:themeColor="text1" w:themeTint="F2"/>
        </w:rPr>
        <w:t xml:space="preserve"> silico</w:t>
      </w:r>
      <w:r w:rsidR="00227EE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workflow</w:t>
      </w:r>
      <w:r w:rsidR="00227EE6" w:rsidRPr="007E5190">
        <w:rPr>
          <w:rFonts w:ascii="Times New Roman" w:hAnsi="Times New Roman" w:cs="Times New Roman"/>
          <w:color w:val="0D0D0D" w:themeColor="text1" w:themeTint="F2"/>
        </w:rPr>
        <w:t xml:space="preserve"> was </w:t>
      </w:r>
      <w:r w:rsidRPr="007E5190">
        <w:rPr>
          <w:rFonts w:ascii="Times New Roman" w:hAnsi="Times New Roman" w:cs="Times New Roman"/>
          <w:color w:val="0D0D0D" w:themeColor="text1" w:themeTint="F2"/>
        </w:rPr>
        <w:t>employed. This approach integrated</w:t>
      </w:r>
      <w:r w:rsidR="00227EE6" w:rsidRPr="007E5190">
        <w:rPr>
          <w:rFonts w:ascii="Times New Roman" w:hAnsi="Times New Roman" w:cs="Times New Roman"/>
          <w:color w:val="0D0D0D" w:themeColor="text1" w:themeTint="F2"/>
        </w:rPr>
        <w:t xml:space="preserve"> high-throughput virtual screening (HTVS) and ADMET profiling with </w:t>
      </w:r>
      <w:r w:rsidRPr="007E5190">
        <w:rPr>
          <w:rFonts w:ascii="Times New Roman" w:hAnsi="Times New Roman" w:cs="Times New Roman"/>
          <w:color w:val="0D0D0D" w:themeColor="text1" w:themeTint="F2"/>
        </w:rPr>
        <w:t xml:space="preserve">advanced validation techniques, including </w:t>
      </w:r>
      <w:r w:rsidR="00227EE6" w:rsidRPr="007E5190">
        <w:rPr>
          <w:rFonts w:ascii="Times New Roman" w:hAnsi="Times New Roman" w:cs="Times New Roman"/>
          <w:color w:val="0D0D0D" w:themeColor="text1" w:themeTint="F2"/>
        </w:rPr>
        <w:t>125 ns Molecular Dynamics (MD) simulations, MM/GBSA free energy calculations, and Density Functional Theory (DFT) analysis</w:t>
      </w:r>
      <w:r w:rsidRPr="007E5190">
        <w:rPr>
          <w:rFonts w:ascii="Times New Roman" w:hAnsi="Times New Roman" w:cs="Times New Roman"/>
          <w:color w:val="0D0D0D" w:themeColor="text1" w:themeTint="F2"/>
        </w:rPr>
        <w:t>.</w:t>
      </w:r>
      <w:r w:rsidR="00227EE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HTVS successfully identified triterpenoid analogues as top hits; however, the subsequent advanced validation corrected the initial docking rank, highlighting the limitations of static scoring.</w:t>
      </w:r>
    </w:p>
    <w:p w14:paraId="764BBA1B" w14:textId="123222D5" w:rsidR="00227EE6" w:rsidRPr="007E5190" w:rsidRDefault="00227EE6" w:rsidP="00227EE6">
      <w:pPr>
        <w:jc w:val="both"/>
        <w:rPr>
          <w:rFonts w:ascii="Times New Roman" w:eastAsiaTheme="minorEastAsia" w:hAnsi="Times New Roman" w:cs="Times New Roman"/>
          <w:iCs/>
          <w:color w:val="0D0D0D" w:themeColor="text1" w:themeTint="F2"/>
        </w:rPr>
      </w:pPr>
      <w:r w:rsidRPr="007E5190">
        <w:rPr>
          <w:rFonts w:ascii="Times New Roman" w:hAnsi="Times New Roman" w:cs="Times New Roman"/>
          <w:color w:val="0D0D0D" w:themeColor="text1" w:themeTint="F2"/>
        </w:rPr>
        <w:t>The Hederagenin analogue (CID 137633443) was definitively identified as the most potent inhibitor, exhibiting a superior binding free energy (</w:t>
      </w:r>
      <m:oMath>
        <m:r>
          <m:rPr>
            <m:sty m:val="p"/>
          </m:rPr>
          <w:rPr>
            <w:rFonts w:ascii="Cambria Math" w:hAnsi="Cambria Math" w:cs="Times New Roman"/>
            <w:color w:val="0D0D0D" w:themeColor="text1" w:themeTint="F2"/>
          </w:rPr>
          <m:t>Δ</m:t>
        </m:r>
        <m:sSub>
          <m:sSubPr>
            <m:ctrlPr>
              <w:rPr>
                <w:rFonts w:ascii="Cambria Math" w:hAnsi="Cambria Math" w:cs="Times New Roman"/>
                <w:i/>
                <w:iCs/>
                <w:color w:val="0D0D0D" w:themeColor="text1" w:themeTint="F2"/>
              </w:rPr>
            </m:ctrlPr>
          </m:sSubPr>
          <m:e>
            <m:r>
              <w:rPr>
                <w:rFonts w:ascii="Cambria Math" w:hAnsi="Cambria Math" w:cs="Times New Roman"/>
                <w:color w:val="0D0D0D" w:themeColor="text1" w:themeTint="F2"/>
              </w:rPr>
              <m:t>G</m:t>
            </m:r>
          </m:e>
          <m:sub>
            <m:r>
              <w:rPr>
                <w:rFonts w:ascii="Cambria Math" w:hAnsi="Cambria Math" w:cs="Times New Roman"/>
                <w:color w:val="0D0D0D" w:themeColor="text1" w:themeTint="F2"/>
              </w:rPr>
              <m:t>bind</m:t>
            </m:r>
          </m:sub>
        </m:sSub>
      </m:oMath>
      <w:r w:rsidRPr="007E5190">
        <w:rPr>
          <w:rFonts w:ascii="Times New Roman" w:eastAsiaTheme="minorEastAsia" w:hAnsi="Times New Roman" w:cs="Times New Roman"/>
          <w:iCs/>
          <w:color w:val="0D0D0D" w:themeColor="text1" w:themeTint="F2"/>
        </w:rPr>
        <w:t>)</w:t>
      </w:r>
      <w:r w:rsidRPr="007E5190">
        <w:rPr>
          <w:rFonts w:ascii="Times New Roman" w:hAnsi="Times New Roman" w:cs="Times New Roman"/>
          <w:color w:val="0D0D0D" w:themeColor="text1" w:themeTint="F2"/>
        </w:rPr>
        <w:t xml:space="preserve"> of </w:t>
      </w:r>
      <m:oMath>
        <m:r>
          <w:rPr>
            <w:rFonts w:ascii="Cambria Math" w:hAnsi="Cambria Math" w:cs="Times New Roman"/>
            <w:color w:val="0D0D0D" w:themeColor="text1" w:themeTint="F2"/>
          </w:rPr>
          <m:t>-17.0</m:t>
        </m:r>
        <m:r>
          <w:rPr>
            <w:rFonts w:ascii="Cambria Math" w:hAnsi="Cambria Math" w:cs="Times New Roman"/>
            <w:color w:val="0D0D0D" w:themeColor="text1" w:themeTint="F2"/>
          </w:rPr>
          <m:t>9</m:t>
        </m:r>
        <m:r>
          <w:rPr>
            <w:rFonts w:ascii="Cambria Math" w:hAnsi="Cambria Math" w:cs="Times New Roman"/>
            <w:color w:val="0D0D0D" w:themeColor="text1" w:themeTint="F2"/>
          </w:rPr>
          <m:t xml:space="preserve"> kcal/mol</m:t>
        </m:r>
      </m:oMath>
      <w:r w:rsidRPr="007E5190">
        <w:rPr>
          <w:rFonts w:ascii="Times New Roman" w:hAnsi="Times New Roman" w:cs="Times New Roman"/>
          <w:color w:val="0D0D0D" w:themeColor="text1" w:themeTint="F2"/>
        </w:rPr>
        <w:t>. This potency was confirmed by its dynamic stability (low RMSD and a deep Free Energy Landscape basin) and its high chemical reactivity, as DFT analysis showed the Hederagenin analogue had the smallest HOMO-LUMO energy gap (4.92 eV).</w:t>
      </w:r>
    </w:p>
    <w:p w14:paraId="522F95EB" w14:textId="77777777" w:rsidR="00227EE6" w:rsidRPr="007E5190" w:rsidRDefault="00227EE6" w:rsidP="00227EE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This research successfully identifies a structurally and electronically validated small-molecule lead, offering a strong foundation for the development of novel anti-virulence therapies to combat listeriosis and address the increasing challenge of antibiotic resistance.</w:t>
      </w:r>
    </w:p>
    <w:p w14:paraId="069738CF" w14:textId="77777777" w:rsidR="00227EE6" w:rsidRPr="007E5190" w:rsidRDefault="00227EE6" w:rsidP="00227EE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lastRenderedPageBreak/>
        <w:t xml:space="preserve">Keywords: Drug Design; Computational Chemistry; Internalin H; </w:t>
      </w:r>
      <w:r w:rsidRPr="007E5190">
        <w:rPr>
          <w:rFonts w:ascii="Times New Roman" w:hAnsi="Times New Roman" w:cs="Times New Roman"/>
          <w:i/>
          <w:iCs/>
          <w:color w:val="0D0D0D" w:themeColor="text1" w:themeTint="F2"/>
        </w:rPr>
        <w:t>Listeria monocytogenes</w:t>
      </w:r>
      <w:r w:rsidRPr="007E5190">
        <w:rPr>
          <w:rFonts w:ascii="Times New Roman" w:hAnsi="Times New Roman" w:cs="Times New Roman"/>
          <w:color w:val="0D0D0D" w:themeColor="text1" w:themeTint="F2"/>
        </w:rPr>
        <w:t>; Molecular Dynamics; Anti-Virulence Therapy</w:t>
      </w:r>
    </w:p>
    <w:p w14:paraId="49490B99" w14:textId="77777777" w:rsidR="00F12626" w:rsidRPr="007E5190" w:rsidRDefault="00F12626" w:rsidP="00DD06FA">
      <w:pPr>
        <w:pStyle w:val="Heading1"/>
        <w:rPr>
          <w:rFonts w:cs="Times New Roman"/>
        </w:rPr>
      </w:pPr>
      <w:r w:rsidRPr="007E5190">
        <w:rPr>
          <w:rFonts w:cs="Times New Roman"/>
        </w:rPr>
        <w:t>Introduction</w:t>
      </w:r>
    </w:p>
    <w:p w14:paraId="124EC11B" w14:textId="5237E08C"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i/>
          <w:iCs/>
          <w:color w:val="0D0D0D" w:themeColor="text1" w:themeTint="F2"/>
        </w:rPr>
        <w:t>Listeria monocytogenes</w:t>
      </w:r>
      <w:r w:rsidRPr="007E5190">
        <w:rPr>
          <w:rFonts w:ascii="Times New Roman" w:hAnsi="Times New Roman" w:cs="Times New Roman"/>
          <w:color w:val="0D0D0D" w:themeColor="text1" w:themeTint="F2"/>
        </w:rPr>
        <w:t xml:space="preserve"> is a robust, Gram-positive bacterium ubiquitous in nature, known worldwide as a foodborne pathogen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{"citationID":"k3py068j","properties":{"formattedCitation":"[1]","plainCitation":"[1]","noteIndex":0},"citationItems":[{"id":82,"uris":["http://zotero.org/users/local/GoHQ98fS/items/BGFC28DF"],"itemData":{"id":82,"type":"chapter","abstract":"Listeria  monocytogenes is a gram-positive, facultative intracellular rod bacteria that is catalase positive and beta-hemolytic when grown on blood agar. There have been several historical foodborne illness breakouts involving L. monocytogenes. In 1981, L. monocytogenes was revealed to be a foodborne illness linked to a variety of foods.  In 1985, a massive outbreak of L. monocytogenes was traced to a brand of soft cheeses involving 142 cases, 28 deaths, and 20 fetal losses. While L. monocytogenes is not the most common foodborne illness, it has the highest mortality rate secondary to its unique virulence factors. L. monocytogenes’ virulence factors include but are not limited to intracellular mobility via actin polymerization and the ability to replicate at refrigerator temperatures. This makes it difficult for food industries to control. Transmission of the bacteria occurs via the fecal-oral route and most commonly involves foods such as cold deli meats and unpasteurized dairy products. The number of cases involving L. monocytogenes has decreased in recent years thanks to advances in prevention, detection, and treatment. Infection via L. monocytogenes (listeriosis) includes but is not limited to sepsis, meningitis, encephalitis, spontaneous abortion, or fever and self-limiting gastroenteritis in a healthy adult. Populations at the most risk for L. monocytogenes infection include pregnant females, infants, immunocompromised individuals, and elderly.","call-number":"NBK534838","container-title":"StatPearls","event-place":"Treasure Island (FL)","language":"eng","license":"Copyright © 2025, StatPearls Publishing LLC.","note":"PMID: 30521259","publisher":"StatPearls Publishing","publisher-place":"Treasure Island (FL)","source":"PubMed","title":"Listeria Monocytogenes","URL":"http://www.ncbi.nlm.nih.gov/books/NBK534838/","author":[{"family":"Rogalla","given":"Denver"},{"family":"Bomar","given":"Paul A."}],"accessed":{"date-parts":[["2025",11,2]]},"issued":{"date-parts":[["2025"]]}}}],"schema":"https://github.com/citation-style-language/schema/raw/master/csl-citation.json"}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[1]</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The bacterium stands out due to its ability to thrive, even grow in unfavorable conditions such as cold temperatures, low-pH environments, and moderate salt levels, thus posing a constant risk in food production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{"citationID":"xWXdEhY7","properties":{"formattedCitation":"[2]","plainCitation":"[2]","noteIndex":0},"citationItems":[{"id":27,"uris":["http://zotero.org/users/local/GoHQ98fS/items/CNPPEAWX"],"itemData":{"id":27,"type":"article-journal","abstract":"The foodborne pathogen\n              Listeria monocytogenes\n              is the causative agent of human listeriosis, a severe disease, especially dangerous for the elderly, pregnant women, and newborns. Although this infection is comparatively rare, it is often associated with a significant mortality rate of 20–30% worldwide. Therefore, this microorganism has an important impact on food safety.\n              L. monocytogenes\n              can adapt, survive and even grow over a wide range of food production environmental stress conditions such as temperatures, low and high pH, high salt concentration, ultraviolet lights, presence of biocides and heavy metals. Furthermore, this bacterium is also able to form biofilm structures on a variety of surfaces in food production environments which makes it difficult to remove and allows it to persist for a long time. This increases the risk of contamination of food production facilities and finally foods. The present review focuses on the key issues related to the molecular mechanisms of the pathogen survival and adaptation to adverse environmental conditions. Knowledge and understanding of the\n              L. monocytogenes\n              adaptation approaches to environmental stress factors will have a significant influence on the development of new, efficient, and cost-effective methods of the pathogen control in the food industry, which is critical to ensure food production safety.","container-title":"Frontiers in Microbiology","DOI":"10.3389/fmicb.2022.866462","ISSN":"1664-302X","journalAbbreviation":"Front. Microbiol.","page":"866462","source":"DOI.org (Crossref)","title":"Listeria monocytogenes – How This Pathogen Survives in Food-Production Environments?","URL":"https://www.frontiersin.org/articles/10.3389/fmicb.2022.866462/full","volume":"13","author":[{"family":"Osek","given":"Jacek"},{"family":"Lachtara","given":"Beata"},{"family":"Wieczorek","given":"Kinga"}],"accessed":{"date-parts":[["2025",9,9]]},"issued":{"date-parts":[["2022",4,26]]}}}],"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[2]</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w:t>
      </w:r>
      <w:r w:rsidR="00BA72A1" w:rsidRPr="007E5190">
        <w:rPr>
          <w:rFonts w:ascii="Times New Roman" w:hAnsi="Times New Roman" w:cs="Times New Roman"/>
          <w:color w:val="0D0D0D" w:themeColor="text1" w:themeTint="F2"/>
        </w:rPr>
        <w:t xml:space="preserve">The resulting </w:t>
      </w:r>
      <w:r w:rsidRPr="007E5190">
        <w:rPr>
          <w:rFonts w:ascii="Times New Roman" w:hAnsi="Times New Roman" w:cs="Times New Roman"/>
          <w:color w:val="0D0D0D" w:themeColor="text1" w:themeTint="F2"/>
        </w:rPr>
        <w:t>infection, called listeriosis, is a dangerous</w:t>
      </w:r>
      <w:r w:rsidR="00A5326A" w:rsidRPr="007E5190">
        <w:rPr>
          <w:rFonts w:ascii="Times New Roman" w:hAnsi="Times New Roman" w:cs="Times New Roman"/>
          <w:color w:val="0D0D0D" w:themeColor="text1" w:themeTint="F2"/>
        </w:rPr>
        <w:t xml:space="preserve"> and</w:t>
      </w:r>
      <w:r w:rsidRPr="007E5190">
        <w:rPr>
          <w:rFonts w:ascii="Times New Roman" w:hAnsi="Times New Roman" w:cs="Times New Roman"/>
          <w:color w:val="0D0D0D" w:themeColor="text1" w:themeTint="F2"/>
        </w:rPr>
        <w:t xml:space="preserve"> life-threatening disease. Though rarer than others, listeriosis has extremely high hospitalization and mortality rates, up to 20-30%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LcupNuoB","properties":{"formattedCitation":"[3]","plainCitation":"[3]","noteIndex":0},"citationItems":[{"id":42,"uris":["http://zotero.org/users/local/GoHQ98fS/items/RVFIM3A2"],"itemData":{"id":42,"type":"webpage","language":"en","title":"Listeriosis","URL":"https://www.who.int/news-room/fact-sheets/detail/listeriosis","author":[{"literal":"World Health Organization"}],"accessed":{"date-parts":[["2025",9,10]]},"issued":{"date-parts":[["2024",5,17]]}}}],"schema":"https://github.com/citation-style-language/schema/raw/master/csl-citation.json"}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[3]</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It is particularly perilous to immunocompromised individuals, as well as to pregnant women, newborn infants, older adults, and those suffering from weakened immunity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{"citationID":"DSe4bFCL","properties":{"formattedCitation":"[4,5]","plainCitation":"[4,5]","noteIndex":0},"citationItems":[{"id":17,"uris":["http://zotero.org/users/local/GoHQ98fS/items/ZNAIREXU"],"itemData":{"id":17,"type":"article-journal","abstract":"Listeria monocytogenes\n              is a Gram-positive facultative intracellular pathogen that can cause severe invasive infections upon ingestion with contaminated food. Clinically, listerial disease, or listeriosis, most often presents as bacteremia, meningitis or meningoencephalitis, and pregnancy-associated infections manifesting as miscarriage or neonatal sepsis.\n            \n          , \n            SUMMARY\n            \n              Listeria monocytogenes\n              is a Gram-positive facultative intracellular pathogen that can cause severe invasive infections upon ingestion with contaminated food. Clinically, listerial disease, or listeriosis, most often presents as bacteremia, meningitis or meningoencephalitis, and pregnancy-associated infections manifesting as miscarriage or neonatal sepsis. Invasive listeriosis is life-threatening and a main cause of foodborne illness leading to hospital admissions in Western countries. Sources of contamination can be identified through international surveillance systems for foodborne bacteria and strains’ genetic data sharing. Large-scale whole genome studies have increased our knowledge on the diversity and evolution of\n              L. monocytogenes\n              , while recent pathophysiological investigations have improved our mechanistic understanding of listeriosis. In this article, we present an overview of human listeriosis with particular focus on relevant features of the causative bacterium, epidemiology, risk groups, pathogenesis, clinical manifestations, and treatment and prevention.","container-title":"Clinical Microbiology Reviews","DOI":"10.1128/cmr.00060-19","ISSN":"0893-8512, 1098-6618","issue":"1","journalAbbreviation":"Clin Microbiol Rev","language":"en","page":"e00060-19","source":"DOI.org (Crossref)","title":"Human Listeriosis","URL":"https://journals.asm.org/doi/10.1128/cmr.00060-19","volume":"36","author":[{"family":"Koopmans","given":"Merel M."},{"family":"Brouwer","given":"Matthijs C."},{"family":"Vázquez-Boland","given":"José A."},{"family":"Van De Beek","given":"Diederik"}],"accessed":{"date-parts":[["2025",9,9]]},"issued":{"date-parts":[["2023",3,23]]}}},{"id":36,"uris":["http://zotero.org/users/local/GoHQ98fS/items/SXCI25WM"],"itemData":{"id":36,"type":"article-journal","abstract":"ABSTRACT\n            Listeria monocytogenes is a Gram-positive pathogenic bacterium which can be found in soil or water. Infection with the organism can develop after ingestion of contaminated food products. Small and large outbreaks of listeriosis have been described. Listeria monocytogenes can cause a number of clinical syndromes, most frequently sepsis, meningitis, and rhombencephalitis, particularly in immunocompromised hosts. The latter syndrome mimics the veterinary infection in ruminants called “circling disease”. Neonatal infection can occur as a result of maternal chorioamnionitis (“early onset” sepsis) or through passage through a birth canal colonized with Listeria from the gastrointestinal tract. (“late onset” meningitis). Treatment of listeriosis is usually with a combination of ampicillin and an aminoglycoside but other regimens have been used. The mortality rate is high, reflecting the combination of an immunocompromised host and an often delayed diagnosis.","container-title":"Microbiology Spectrum","DOI":"10.1128/microbiolspec.GPP3-0014-2018","ISSN":"2165-0497","issue":"3","journalAbbreviation":"Microbiol Spectr","language":"en","page":"7.3.3","source":"DOI.org (Crossref)","title":"Epidemiology and Clinical Manifestations of &lt;i&gt;Listeria monocytogenes&lt;/i&gt; Infection","URL":"https://journals.asm.org/doi/10.1128/microbiolspec.GPP3-0014-2018","volume":"7","author":[{"family":"Schlech","given":"Walter F."}],"editor":[{"family":"Fischetti","given":"Vincent A."},{"family":"Novick","given":"Richard P."},{"family":"Ferretti","given":"Joseph J."},{"family":"Portnoy","given":"Daniel A."},{"family":"Braunstein","given":"Miriam"},{"family":"Rood","given":"Julian I."}],"accessed":{"date-parts":[["2025",9,9]]},"issued":{"date-parts":[["2019",5,31]]}}}],"schema":"https://github.com/citation-style-language/schema/raw/master/csl-citation.json"}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[4,5]</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In these individuals, it can cause life-threatening conditions such as meningitis, bacteremia, and miscarriage, and can even lead to death in some cases, highlighting the critical need to formulate efficacious therapeutic interventions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{"citationID":"qKWxgFuN","properties":{"formattedCitation":"[6]","plainCitation":"[6]","noteIndex":0},"citationItems":[{"id":8,"uris":["http://zotero.org/users/local/GoHQ98fS/items/ZJPYSTZZ"],"itemData":{"id":8,"type":"article-journal","container-title":"The Lancet Infectious Diseases","DOI":"10.1016/S1473-3099(14)70870-9","ISSN":"14733099","issue":"11","journalAbbreviation":"The Lancet Infectious Diseases","language":"en","page":"1073-1082","source":"DOI.org (Crossref)","title":"The global burden of listeriosis: a systematic review and meta-analysis","title-short":"The global burden of listeriosis","URL":"https://linkinghub.elsevier.com/retrieve/pii/S1473309914708709","volume":"14","author":[{"family":"De Noordhout","given":"Charline Maertens"},{"family":"Devleesschauwer","given":"Brecht"},{"family":"Angulo","given":"Frederick J"},{"family":"Verbeke","given":"Geert"},{"family":"Haagsma","given":"Juanita"},{"family":"Kirk","given":"Martyn"},{"family":"Havelaar","given":"Arie"},{"family":"Speybroeck","given":"Niko"}],"accessed":{"date-parts":[["2025",9,9]]},"issued":{"date-parts":[["2014",11]]}}}],"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[6]</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w:t>
      </w:r>
    </w:p>
    <w:p w14:paraId="7252D816" w14:textId="3137233A"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For decades, the main therapy for listeriosis has been antibiotics such as high-dose intravenous ampicillin. However, these treatments are losing their effectiveness due to the emergence of antimicrobial resistance among strains of </w:t>
      </w:r>
      <w:r w:rsidRPr="007E5190">
        <w:rPr>
          <w:rFonts w:ascii="Times New Roman" w:hAnsi="Times New Roman" w:cs="Times New Roman"/>
          <w:i/>
          <w:iCs/>
          <w:color w:val="0D0D0D" w:themeColor="text1" w:themeTint="F2"/>
        </w:rPr>
        <w:t xml:space="preserve">L. monocytogenes </w:t>
      </w:r>
      <w:r w:rsidRPr="007E5190">
        <w:rPr>
          <w:rFonts w:ascii="Times New Roman" w:hAnsi="Times New Roman" w:cs="Times New Roman"/>
          <w:i/>
          <w:iCs/>
          <w:color w:val="0D0D0D" w:themeColor="text1" w:themeTint="F2"/>
        </w:rPr>
        <w:fldChar w:fldCharType="begin"/>
      </w:r>
      <w:r w:rsidRPr="007E5190">
        <w:rPr>
          <w:rFonts w:ascii="Times New Roman" w:hAnsi="Times New Roman" w:cs="Times New Roman"/>
          <w:i/>
          <w:iCs/>
          <w:color w:val="0D0D0D" w:themeColor="text1" w:themeTint="F2"/>
        </w:rPr>
        <w:instrText xml:space="preserve"> ADDIN ZOTERO_ITEM CSL_CITATION {"citationID":"tEuRz7aC","properties":{"formattedCitation":"[7]","plainCitation":"[7]","noteIndex":0},"citationItems":[{"id":12,"uris":["http://zotero.org/users/local/GoHQ98fS/items/GGZCCSVW"],"itemData":{"id":12,"type":"article-journal","abstract":"Listeria monocytogenes (L. monocytogenes) poses a significant threat to food safety due to its ability to cause severe human illness and its resistance to various antibiotics and environmental conditions. This study investigated the prevalence, serotype distribution, virulence gene profiles, and antimicrobial resistance patterns of L. monocytogenes in ready-to-eat (RTE) food products from Romania. A total of 8151 samples were analyzed, including various processed dairy, bovine, poultry, pork, and fish products. Bacterial isolation was conducted using the classical standard method, followed by confirmation through biochemical and molecular testing. Among the isolated strains, serotypes 1/2a, 1/2b, and 1/2c were identified, with a prevalence of 75% for serotype 1/2a. Additionally, virulence genes specific to listeriolysin O (hlyA) and regulatory factor A (prfA) were detected in all isolates. Antimicrobial susceptibility testing revealed varying resistance patterns among the L. monocytogenes strains. Trimethoprim-sulfamethoxazole and oxacillin showed the highest prevalence of resistance at 26.92% and 23.07%, respectively. However, all strains remained susceptible to ciprofloxacin, levofloxacin, and moxifloxacin. Notably, 23.07% of the isolates exhibited multidrug resistance, with the most common pattern being resistance to oxacillin, penicillin, and tetracycline. Analysis of antimicrobial resistance genes identified tetracycline resistance genes, particularly tet(C), tet(M), and tet(K), in a significant proportion of isolates. The presence of ampC and dfrD genes was also notable, indicating potential mechanisms of resistance. These results emphasize the necessity for ongoing surveillance of L. monocytogenes in RTE foods and emphasize the importance of thorough monitoring of antimicrobial resistance to guide public health strategies within the European Union.","container-title":"Microorganisms","DOI":"10.3390/microorganisms12050954","ISSN":"2076-2607","issue":"5","journalAbbreviation":"Microorganisms","language":"en","license":"https://creativecommons.org/licenses/by/4.0/","page":"954","source":"DOI.org (Crossref)","title":"Virulence and Antimicrobial Resistance of Listeria monocytogenes Isolated from Ready-to-Eat Food Products in Romania","URL":"https://www.mdpi.com/2076-2607/12/5/954","volume":"12","author":[{"family":"Duma","given":"Mihaela Niculina"},{"family":"Ciupescu","given":"Laurenţiu Mihai"},{"family":"Dan","given":"Sorin Daniel"},{"family":"Crisan-Reget","given":"Oana Lucia"},{"family":"Tabaran","given":"Alexandra"}],"accessed":{"date-parts":[["2025",9,9]]},"issued":{"date-parts":[["2024",5,8]]}}}],"schema":"https://github.com/citation-style-language/schema/raw/master/csl-citation.json"} </w:instrText>
      </w:r>
      <w:r w:rsidRPr="007E5190">
        <w:rPr>
          <w:rFonts w:ascii="Times New Roman" w:hAnsi="Times New Roman" w:cs="Times New Roman"/>
          <w:i/>
          <w:iCs/>
          <w:color w:val="0D0D0D" w:themeColor="text1" w:themeTint="F2"/>
        </w:rPr>
        <w:fldChar w:fldCharType="separate"/>
      </w:r>
      <w:r w:rsidRPr="007E5190">
        <w:rPr>
          <w:rFonts w:ascii="Times New Roman" w:hAnsi="Times New Roman" w:cs="Times New Roman"/>
          <w:color w:val="0D0D0D" w:themeColor="text1" w:themeTint="F2"/>
        </w:rPr>
        <w:t>[7]</w:t>
      </w:r>
      <w:r w:rsidRPr="007E5190">
        <w:rPr>
          <w:rFonts w:ascii="Times New Roman" w:hAnsi="Times New Roman" w:cs="Times New Roman"/>
          <w:i/>
          <w:iCs/>
          <w:color w:val="0D0D0D" w:themeColor="text1" w:themeTint="F2"/>
        </w:rPr>
        <w:fldChar w:fldCharType="end"/>
      </w:r>
      <w:r w:rsidRPr="007E5190">
        <w:rPr>
          <w:rFonts w:ascii="Times New Roman" w:hAnsi="Times New Roman" w:cs="Times New Roman"/>
          <w:color w:val="0D0D0D" w:themeColor="text1" w:themeTint="F2"/>
        </w:rPr>
        <w:t xml:space="preserve">. This increased resistance further narrows the already limited therapeutic options. Additionally, the bacterium's ability to survive and proliferate inside host cells, evade host immunity, and transmit quickly between cells without re-entering the extracellular environment creates a formidable obstacle to treatment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{"citationID":"kQDFTzWz","properties":{"formattedCitation":"[8]","plainCitation":"[8]","noteIndex":0},"citationItems":[{"id":6,"uris":["http://zotero.org/users/local/GoHQ98fS/items/HUR3LAUE"],"itemData":{"id":6,"type":"article-journal","abstract":"Listeria monocytogenes is an intracellular parasite that can readily infect the macrophage-like cell line J774 and the kidney epithelial cell PtK2. After being ingested, the organism escapes from the phagolysosome into the host-cell cytoplasm. N-(7-Nitrobenz-2-oxa-1,3-diazol-4-yl)-phallacidin, a specific stain for actin filaments (F-actin), demonstrates that within 1 hr of initiation of infection, the bacteria become surrounded by host-cell cytoplasmic actin filaments. By 3 hr, long projections of F-actin begin to form at one end of the bacteria. These actin structures colocalize with the actin-bundling protein alpha-actinin as well as with tropomyosin. Microinjection of fluorescently labeled alpha-actinin in living cells demonstrates that the formation of these F-actin projections is associated with bacterial movement, actin filaments rapidly assembling behind the bacteria as they migrate through the cytoplasm. These F-actin tails attain lengths up to 40 microns. The movement of the bacteria through the cytoplasm is rapid, 0.12-1.46 microns/sec. Within 2 min of cytochalasin D (0.5 micrograms/ml) treatment, all bacterial intracellular movement stops, and additional bacteria-associated actin assembly is blocked. A nonmotile Listeria mutant induces comparable actin assembly and moves at speeds similar to the wild type, indicating that the forces required for intracellular bacterial movement are generated by the host cell. L. monocytogenes can dramatically stimulate host-cell actin assembly in a directional manner, which serves to rapidly propel the bacteria through the cytoplasm, allowing the organisms to move to peripheral membranes and spread to uninfected cells.","container-title":"Proceedings of the National Academy of Sciences","DOI":"10.1073/pnas.87.16.6068","ISSN":"0027-8424, 1091-6490","issue":"16","journalAbbreviation":"Proc. Natl. Acad. Sci. U.S.A.","language":"en","page":"6068-6072","source":"DOI.org (Crossref)","title":"Listeria monocytogenes moves rapidly through the host-cell cytoplasm by inducing directional actin assembly.","URL":"https://pnas.org/doi/full/10.1073/pnas.87.16.6068","volume":"87","author":[{"family":"Dabiri","given":"G A"},{"family":"Sanger","given":"J M"},{"family":"Portnoy","given":"D A"},{"family":"Southwick","given":"F S"}],"accessed":{"date-parts":[["2025",9,9]]},"issued":{"date-parts":[["1990",8]]}}}],"schema":"https://github.com/citation-style-language/schema/raw/master/csl-citation.json"}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[8]</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Most antibiotics are ineffective in penetrating host cells </w:t>
      </w:r>
      <w:r w:rsidR="003B2345" w:rsidRPr="007E5190">
        <w:rPr>
          <w:rFonts w:ascii="Times New Roman" w:hAnsi="Times New Roman" w:cs="Times New Roman"/>
          <w:color w:val="0D0D0D" w:themeColor="text1" w:themeTint="F2"/>
        </w:rPr>
        <w:t>to eliminate intracellular bacteria, rendering standard treatments less effective</w:t>
      </w:r>
      <w:r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{"citationID":"YbwRI4MI","properties":{"formattedCitation":"[9]","plainCitation":"[9]","noteIndex":0},"citationItems":[{"id":20,"uris":["http://zotero.org/users/local/GoHQ98fS/items/J3DIWDKU"],"itemData":{"id":20,"type":"article-journal","abstract":"ABSTRACT\n            \n              For nearly a century the use of antibiotics to treat infectious diseases has benefited human and animal health. In recent years there has been an increase in the emergence of antibiotic-resistant bacteria, in part attributed to the overuse of compounds in clinical and farming settings. The genus\n              Listeria\n              currently comprises 17 recognized species found throughout the environment.\n              Listeria monocytogenes\n              is the etiological agent of listeriosis in humans and many vertebrate species, including birds, whereas\n              Listeria ivanovii\n              causes infections mainly in ruminants.\n              L. monocytogenes\n              is the third-most-common cause of death from food poisoning in humans, and infection occurs in at-risk groups, including pregnant women, newborns, the elderly, and immunocompromised individuals.","container-title":"Microbiology Spectrum","DOI":"10.1128/microbiolspec.ARBA-0031-2017","ISSN":"2165-0497","issue":"4","journalAbbreviation":"Microbiol Spectr","language":"en","page":"6.4.19","source":"DOI.org (Crossref)","title":"Antimicrobial Resistance in &lt;i&gt;Listeria&lt;/i&gt; Species","URL":"https://journals.asm.org/doi/10.1128/microbiolspec.ARBA-0031-2017","volume":"6","author":[{"family":"Luque-Sastre","given":"Laura"},{"family":"Arroyo","given":"Cristina"},{"family":"Fox","given":"Edward M."},{"family":"McMahon","given":"Barry J."},{"family":"Bai","given":"Li"},{"family":"Li","given":"Fengqin"},{"family":"Fanning","given":"Séamus"}],"editor":[{"family":"Aarestrup","given":"Frank Møller"},{"family":"Schwarz","given":"Stefan"},{"family":"Shen","given":"Jianzhong"},{"family":"Cavaco","given":"Lina"}],"accessed":{"date-parts":[["2025",9,9]]},"issued":{"date-parts":[["2018",7,27]]}}}],"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[9]</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w:t>
      </w:r>
    </w:p>
    <w:p w14:paraId="6F38B56E" w14:textId="77777777"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This presents a significant gap in existing medical research and highlights the current challenge of developing new treatment approaches. Rather than simply attacking the survival of the bacteria, one promising new strategy is to target its virulence factors, the very tools that it specifically employs to create disease. Through the neutralization of these factors, this approach disrupts the infection cycle and reduces the selective pressure that contributes to the evolution of antibiotic resistance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{"citationID":"gnlmr9rr","properties":{"formattedCitation":"[10]","plainCitation":"[10]","noteIndex":0},"citationItems":[{"id":2,"uris":["http://zotero.org/users/local/GoHQ98fS/items/CKZBI5FH"],"itemData":{"id":2,"type":"article","abstract":"ABSTRACT\n          \n            Humans can develop listeriosis by ingestion of foods contaminated with\n            Listeria monocytogenes,\n            an opportunistic gram-positive ubiquitous bacterium. Whilst the non-invasive form of listeriosis may be asymptomatic or cause mild flu-like symptoms, the invasive form of listeriosis is life-threatening and is associated with high hospitalization and fatality rates. Current antibiotic-based therapies are still effective against listeriosis. However, multi-drug resistant\n            Listeria monocytogenes\n            strains have already been identified, which represents a new risk in the treatment of invasive listeriosis. Therefore, it is increasingly urgent to identify new compounds that do not target the conventional biochemical pathways disrupted by current antibiotics. Positive Regulatory Factor A (PrfA) is a well-studied transcriptional factor in\n            Listeria monocytogenes\n            that is responsible for activating a plethora of virulence factors. Targeting virulence factors is a promising strategy that is being considered to combat bacterial infections, hence targeting PrfA is both logical and attractive. In the present computational drug repurposing approach, a complete FDA-approved drugs dataset of more than 700 compounds was virtually screened by docking the drugs against the structure of PrfA. Three of the most promising top-scored FDA drug candidates were then simulated complexed to PrfA. Data from Molecular docking and Molecular Dynamics simulations suggest that Dutasteride and Solifenacin may bind PrfA, and as a result, might exhibit inhibitory activity against\n            Listeria monocytogenes\n            . The use of Dutasteride and Solifenacin is safe in humans since they have been used in the treatment of benign prostatic hyperplasia and androgenic alopecia, and urinary incontinence respectively for decades. Their unique chemical scaffolds may represent valuable starting points for the rapid development of disruptive novel listeria-specific drugs that will be soon needed to combat multi-drug resistant\n            Listeria monocytogenes\n            strains.","DOI":"10.1101/2023.12.10.570966","language":"en","publisher":"Bioinformatics","source":"DOI.org (Crossref)","title":"Targeting PrfA from Listeria monocytogenes: a computational drug repurposing approach","title-short":"Targeting PrfA from Listeria monocytogenes","URL":"http://biorxiv.org/lookup/doi/10.1101/2023.12.10.570966","author":[{"family":"Arias Moreno","given":"Xabier"}],"accessed":{"date-parts":[["2025",9,9]]},"issued":{"date-parts":[["2023",12,10]]}}}],"schema":"https://github.com/citation-style-language/schema/raw/master/csl-citation.json"}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[10]</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w:t>
      </w:r>
    </w:p>
    <w:p w14:paraId="6D953D76" w14:textId="77777777"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internalin protein family is an important group of surface proteins in </w:t>
      </w:r>
      <w:r w:rsidRPr="007E5190">
        <w:rPr>
          <w:rFonts w:ascii="Times New Roman" w:hAnsi="Times New Roman" w:cs="Times New Roman"/>
          <w:i/>
          <w:iCs/>
          <w:color w:val="0D0D0D" w:themeColor="text1" w:themeTint="F2"/>
        </w:rPr>
        <w:t>Listeria monocytogenes</w:t>
      </w:r>
      <w:r w:rsidRPr="007E5190">
        <w:rPr>
          <w:rFonts w:ascii="Times New Roman" w:hAnsi="Times New Roman" w:cs="Times New Roman"/>
          <w:color w:val="0D0D0D" w:themeColor="text1" w:themeTint="F2"/>
        </w:rPr>
        <w:t xml:space="preserve"> that allows the bacterium to infect host cells, characterized by leucine-rich repeat domain proteins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{"citationID":"YPlEOuAz","properties":{"formattedCitation":"[11]","plainCitation":"[11]","noteIndex":0},"citationItems":[{"id":35,"uris":["http://zotero.org/users/local/GoHQ98fS/items/4QKAHX4K"],"itemData":{"id":35,"type":"article-journal","abstract":"ABSTRACT\n            \n              Listeria monocytogenes\n              expresses surface proteins covalently anchored to the peptidoglycan by sortase enzymes. Inactivation of\n              srtA\n              attenuates\n              Listeria\n              virulence in mice (H. Bierne, S. K. Mazmanian, M. Trost, M. G. Pucciarelli, G. Liu, P. Dehoux, L. Jansch, F. Garcia-del Portillo, O. Schneewind, and P. Cossart, Mol. Microbiol.\n              43:\n              869-881, 2002). We show here that an\n              srtA\n              mutant is more attenuated than an internalin mutant in orally infected guinea pigs and transgenic mice expressing human E-cadherin (hEcad mice), indicating the involvement of other SrtA substrates, LPXTG proteins, in food-borne listeriosis. Data recently generated with a listerial DNA macroarray identified two LPXTG protein-encoding genes present in the genomes of\n              L. monocytogenes\n              strains and absent from all other\n              Listeria\n              species,\n              inlI\n              (lmo0333) and\n              inlJ\n              (lmo2821). They also revealed two other LPXTG protein-encoding genes, ORF29 and ORF2568, present only in a subclass of\n              L. monocytogenes\n              serovars, including the epidemic serovar 4b. We report here that an\n              inlJ\n              deletion mutant, in contrast to\n              inlI\n              and ORF29 mutants, is significantly attenuated in virulence after intravenous infection of mice or oral inoculation of hEcad mice. Interestingly, a ΔORF2568 strain showed a slight increase in virulence.\n              inlJ\n              encodes a leucine-rich repeat (LRR) protein that is structurally related to the listerial invasion factor internalin. However, the consensus sequence of the InlJ LRR defines a novel subfamily of cysteine-containing LRRs in bacteria. In conclusion, this postgenomic approach identified InlJ as a new virulence factor among the proteins belonging to the internalin family in\n              L. monocytogenes\n              .","container-title":"Infection and Immunity","DOI":"10.1128/IAI.73.10.6912-6922.2005","ISSN":"0019-9567, 1098-5522","issue":"10","journalAbbreviation":"Infect Immun","language":"en","page":"6912-6922","source":"DOI.org (Crossref)","title":"LPXTG Protein InlJ, a Newly Identified Internalin Involved in &lt;i&gt;Listeria monocytogenes&lt;/i&gt; Virulence","URL":"https://journals.asm.org/doi/10.1128/IAI.73.10.6912-6922.2005","volume":"73","author":[{"family":"Sabet","given":"Christophe"},{"family":"Lecuit","given":"Marc"},{"family":"Cabanes","given":"Didier"},{"family":"Cossart","given":"Pascale"},{"family":"Bierne","given":"Hélène"}],"accessed":{"date-parts":[["2025",9,9]]},"issued":{"date-parts":[["2005",10]]}}}],"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[11]</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Primary members Internalin A (</w:t>
      </w:r>
      <w:proofErr w:type="spellStart"/>
      <w:r w:rsidRPr="007E5190">
        <w:rPr>
          <w:rFonts w:ascii="Times New Roman" w:hAnsi="Times New Roman" w:cs="Times New Roman"/>
          <w:color w:val="0D0D0D" w:themeColor="text1" w:themeTint="F2"/>
        </w:rPr>
        <w:t>InlA</w:t>
      </w:r>
      <w:proofErr w:type="spellEnd"/>
      <w:r w:rsidRPr="007E5190">
        <w:rPr>
          <w:rFonts w:ascii="Times New Roman" w:hAnsi="Times New Roman" w:cs="Times New Roman"/>
          <w:color w:val="0D0D0D" w:themeColor="text1" w:themeTint="F2"/>
        </w:rPr>
        <w:t>) and Internalin B (</w:t>
      </w:r>
      <w:proofErr w:type="spellStart"/>
      <w:r w:rsidRPr="007E5190">
        <w:rPr>
          <w:rFonts w:ascii="Times New Roman" w:hAnsi="Times New Roman" w:cs="Times New Roman"/>
          <w:color w:val="0D0D0D" w:themeColor="text1" w:themeTint="F2"/>
        </w:rPr>
        <w:t>InlB</w:t>
      </w:r>
      <w:proofErr w:type="spellEnd"/>
      <w:r w:rsidRPr="007E5190">
        <w:rPr>
          <w:rFonts w:ascii="Times New Roman" w:hAnsi="Times New Roman" w:cs="Times New Roman"/>
          <w:color w:val="0D0D0D" w:themeColor="text1" w:themeTint="F2"/>
        </w:rPr>
        <w:t xml:space="preserve">) are vital for the primary host cell invasion. </w:t>
      </w:r>
      <w:proofErr w:type="spellStart"/>
      <w:r w:rsidRPr="007E5190">
        <w:rPr>
          <w:rFonts w:ascii="Times New Roman" w:hAnsi="Times New Roman" w:cs="Times New Roman"/>
          <w:color w:val="0D0D0D" w:themeColor="text1" w:themeTint="F2"/>
        </w:rPr>
        <w:t>InlA</w:t>
      </w:r>
      <w:proofErr w:type="spellEnd"/>
      <w:r w:rsidRPr="007E5190">
        <w:rPr>
          <w:rFonts w:ascii="Times New Roman" w:hAnsi="Times New Roman" w:cs="Times New Roman"/>
          <w:color w:val="0D0D0D" w:themeColor="text1" w:themeTint="F2"/>
        </w:rPr>
        <w:t xml:space="preserve"> attaches to E-cadherin, the cell-cell adhesion protein molecule on human intestinal epithelial cells, an important requirement for passing through the intestinal barrier in a "zipper-like" mechanism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{"citationID":"yphoy803","properties":{"formattedCitation":"[12]","plainCitation":"[12]","noteIndex":0},"citationItems":[{"id":26,"uris":["http://zotero.org/users/local/GoHQ98fS/items/E7R74E7J"],"itemData":{"id":26,"type":"article-journal","abstract":"The intestinal epithelium is the first physiological barrier breached by the Gram-positive facultative pathogen Listeria monocytogenes during an in vivo infection. Listeria monocytogenes binds to the epithelial host cell receptor E-cadherin, which mediates a physical link between the bacterium and filamentous actin (F-actin). However, the importance of anchoring the bacterium to F-actin through E-cadherin for bacterial invasion has not been tested directly in epithelial cells. Here we demonstrate that depleting αE-catenin, which indirectly links E-cadherin to F-actin, did not decrease L. monocytogenes invasion of epithelial cells in tissue culture. Instead, invasion increased due to increased bacterial adhesion to epithelial monolayers with compromised cell–cell junctions. Furthermore, expression of a mutant E-cadherin lacking the intracellular domain was sufficient for efficient L. monocytogenes invasion of epithelial cells. Importantly, direct biotin-mediated binding of bacteria to surface lipids in the plasma membrane of host epithelial cells was sufficient for uptake. Our results indicate that the only requirement for L. monocytogenes invasion of epithelial cells is adhesion to the host cell surface, and that E-cadherin–mediated coupling of the bacterium to F-actin is not required.","container-title":"Molecular Biology of the Cell","DOI":"10.1091/mbc.e16-12-0851","ISSN":"1059-1524, 1939-4586","issue":"22","journalAbbreviation":"MBoC","language":"en","page":"2945-2957","source":"DOI.org (Crossref)","title":"Adhesion to the host cell surface is sufficient to mediate &lt;i&gt;Listeria monocytogenes&lt;/i&gt; entry into epithelial cells","URL":"https://www.molbiolcell.org/doi/10.1091/mbc.e16-12-0851","volume":"28","author":[{"family":"Ortega","given":"Fabian E."},{"family":"Rengarajan","given":"Michelle"},{"family":"Chavez","given":"Natalie"},{"family":"Radhakrishnan","given":"Prathima"},{"family":"Gloerich","given":"Martijn"},{"family":"Bianchini","given":"Julie"},{"family":"Siemers","given":"Kathleen"},{"family":"Luckett","given":"William S."},{"family":"Lauer","given":"Peter"},{"family":"Nelson","given":"W. James"},{"family":"Theriot","given":"Julie A."}],"editor":[{"family":"Yap","given":"Alpha"}],"accessed":{"date-parts":[["2025",9,9]]},"issued":{"date-parts":[["2017",11]]}}}],"schema":"https://github.com/citation-style-language/schema/raw/master/csl-citation.json"}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[12]</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InlB</w:t>
      </w:r>
      <w:proofErr w:type="spellEnd"/>
      <w:r w:rsidRPr="007E5190">
        <w:rPr>
          <w:rFonts w:ascii="Times New Roman" w:hAnsi="Times New Roman" w:cs="Times New Roman"/>
          <w:color w:val="0D0D0D" w:themeColor="text1" w:themeTint="F2"/>
        </w:rPr>
        <w:t xml:space="preserve"> binds to the Met receptor, which is located on a broader variety of host cells, enabling the bacteria to infect more tissues and rapidly proliferate. Once internalized, </w:t>
      </w:r>
      <w:r w:rsidRPr="007E5190">
        <w:rPr>
          <w:rFonts w:ascii="Times New Roman" w:hAnsi="Times New Roman" w:cs="Times New Roman"/>
          <w:i/>
          <w:iCs/>
          <w:color w:val="0D0D0D" w:themeColor="text1" w:themeTint="F2"/>
        </w:rPr>
        <w:t>Listeria</w:t>
      </w:r>
      <w:r w:rsidRPr="007E5190">
        <w:rPr>
          <w:rFonts w:ascii="Times New Roman" w:hAnsi="Times New Roman" w:cs="Times New Roman"/>
          <w:color w:val="0D0D0D" w:themeColor="text1" w:themeTint="F2"/>
        </w:rPr>
        <w:t xml:space="preserve"> escapes from the vacuole into the cytoplasm with the help of other virulence factors such as </w:t>
      </w:r>
      <w:proofErr w:type="spellStart"/>
      <w:r w:rsidRPr="007E5190">
        <w:rPr>
          <w:rFonts w:ascii="Times New Roman" w:hAnsi="Times New Roman" w:cs="Times New Roman"/>
          <w:color w:val="0D0D0D" w:themeColor="text1" w:themeTint="F2"/>
        </w:rPr>
        <w:t>Listeriolysin</w:t>
      </w:r>
      <w:proofErr w:type="spellEnd"/>
      <w:r w:rsidRPr="007E5190">
        <w:rPr>
          <w:rFonts w:ascii="Times New Roman" w:hAnsi="Times New Roman" w:cs="Times New Roman"/>
          <w:color w:val="0D0D0D" w:themeColor="text1" w:themeTint="F2"/>
        </w:rPr>
        <w:t xml:space="preserve"> O to manipulate the host's actin cytoskeleton through the </w:t>
      </w:r>
      <w:proofErr w:type="spellStart"/>
      <w:r w:rsidRPr="007E5190">
        <w:rPr>
          <w:rFonts w:ascii="Times New Roman" w:hAnsi="Times New Roman" w:cs="Times New Roman"/>
          <w:color w:val="0D0D0D" w:themeColor="text1" w:themeTint="F2"/>
        </w:rPr>
        <w:t>ActA</w:t>
      </w:r>
      <w:proofErr w:type="spellEnd"/>
      <w:r w:rsidRPr="007E5190">
        <w:rPr>
          <w:rFonts w:ascii="Times New Roman" w:hAnsi="Times New Roman" w:cs="Times New Roman"/>
          <w:color w:val="0D0D0D" w:themeColor="text1" w:themeTint="F2"/>
        </w:rPr>
        <w:t xml:space="preserve"> protein in order to </w:t>
      </w:r>
      <w:r w:rsidRPr="007E5190">
        <w:rPr>
          <w:rFonts w:ascii="Times New Roman" w:hAnsi="Times New Roman" w:cs="Times New Roman"/>
          <w:color w:val="0D0D0D" w:themeColor="text1" w:themeTint="F2"/>
        </w:rPr>
        <w:lastRenderedPageBreak/>
        <w:t xml:space="preserve">proliferate, propel itself into neighboring cells to effectively spread the infection while evading the host immune system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{"citationID":"t78v0F9I","properties":{"formattedCitation":"[8,13]","plainCitation":"[8,13]","noteIndex":0},"citationItems":[{"id":6,"uris":["http://zotero.org/users/local/GoHQ98fS/items/HUR3LAUE"],"itemData":{"id":6,"type":"article-journal","abstract":"Listeria monocytogenes is an intracellular parasite that can readily infect the macrophage-like cell line J774 and the kidney epithelial cell PtK2. After being ingested, the organism escapes from the phagolysosome into the host-cell cytoplasm. N-(7-Nitrobenz-2-oxa-1,3-diazol-4-yl)-phallacidin, a specific stain for actin filaments (F-actin), demonstrates that within 1 hr of initiation of infection, the bacteria become surrounded by host-cell cytoplasmic actin filaments. By 3 hr, long projections of F-actin begin to form at one end of the bacteria. These actin structures colocalize with the actin-bundling protein alpha-actinin as well as with tropomyosin. Microinjection of fluorescently labeled alpha-actinin in living cells demonstrates that the formation of these F-actin projections is associated with bacterial movement, actin filaments rapidly assembling behind the bacteria as they migrate through the cytoplasm. These F-actin tails attain lengths up to 40 microns. The movement of the bacteria through the cytoplasm is rapid, 0.12-1.46 microns/sec. Within 2 min of cytochalasin D (0.5 micrograms/ml) treatment, all bacterial intracellular movement stops, and additional bacteria-associated actin assembly is blocked. A nonmotile Listeria mutant induces comparable actin assembly and moves at speeds similar to the wild type, indicating that the forces required for intracellular bacterial movement are generated by the host cell. L. monocytogenes can dramatically stimulate host-cell actin assembly in a directional manner, which serves to rapidly propel the bacteria through the cytoplasm, allowing the organisms to move to peripheral membranes and spread to uninfected cells.","container-title":"Proceedings of the National Academy of Sciences","DOI":"10.1073/pnas.87.16.6068","ISSN":"0027-8424, 1091-6490","issue":"16","journalAbbreviation":"Proc. Natl. Acad. Sci. U.S.A.","language":"en","page":"6068-6072","source":"DOI.org (Crossref)","title":"Listeria monocytogenes moves rapidly through the host-cell cytoplasm by inducing directional actin assembly.","URL":"https://pnas.org/doi/full/10.1073/pnas.87.16.6068","volume":"87","author":[{"family":"Dabiri","given":"G A"},{"family":"Sanger","given":"J M"},{"family":"Portnoy","given":"D A"},{"family":"Southwick","given":"F S"}],"accessed":{"date-parts":[["2025",9,9]]},"issued":{"date-parts":[["1990",8]]}}},{"id":14,"uris":["http://zotero.org/users/local/GoHQ98fS/items/MMHLC3GJ"],"itemData":{"id":14,"type":"article-journal","abstract":"ABSTRACT\n            \n              Listeria monocytogenes\n              is a facultative intracellular bacterial pathogen that escapes from a host vacuolar compartment and grows rapidly in the cytosol. Listeriolysin O (LLO) is a secreted pore-forming protein essential for the escape of\n              L. monocytogenes\n              from the vacuole formed upon initial internalization. However, its role in intracellular growth and cell-to-cell spread events has not been testable by a genetic approach. In this study, purified six-His-tagged LLO (HisLLO) was noncovalently coupled to the surface of nickel-treated LLO-negative mutants. Bound LLO mediated vacuolar escape in approximately 2% of the mutants. After 5.5 h of growth, cytosolic bacteria were indistinguishable from wild-type bacteria with regard to formation of pseudopod-like extensions, here termed listeriopods, and spread to adjacent cells. However, bacteria in adjacent cells failed to multiply and were found in double-membrane vacuoles. Addition of bound LLO to mutants lacking LLO and two distinct phospholipases C (PLCs) also resulted in spread to adjacent cells, but these triple mutants became trapped in multiple-membrane vacuoles that are reminiscent of autophagocytic vacuoles. These studies show that neither LLO nor the PLCs are necessary for listeriopod formation and uptake of bacteria into neighboring cells but that LLO is required for the escape of\n              L. monocytogenes\n              from the double-membrane vacuole that forms upon cell-to-cell spread.","container-title":"Infection and Immunity","DOI":"10.1128/IAI.68.2.999-1003.2000","ISSN":"0019-9567, 1098-5522","issue":"2","journalAbbreviation":"Infect Immun","language":"en","page":"999-1003","source":"DOI.org (Crossref)","title":"Role of Listeriolysin O in Cell-to-Cell Spread of &lt;i&gt;Listeria monocytogenes&lt;/i&gt;","URL":"https://journals.asm.org/doi/10.1128/IAI.68.2.999-1003.2000","volume":"68","editor":[{"family":"Barbieri","given":"J. T."}],"author":[{"family":"Gedde","given":"Margaret M."},{"family":"Higgins","given":"Darren E."},{"family":"Tilney","given":"Lewis G."},{"family":"Portnoy","given":"Daniel A."}],"accessed":{"date-parts":[["2025",9,9]]},"issued":{"date-parts":[["2000",2]]}}}],"schema":"https://github.com/citation-style-language/schema/raw/master/csl-citation.json"}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[8,13]</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w:t>
      </w:r>
    </w:p>
    <w:p w14:paraId="1163C57E" w14:textId="77777777"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One such important virulence factor in </w:t>
      </w:r>
      <w:r w:rsidRPr="007E5190">
        <w:rPr>
          <w:rFonts w:ascii="Times New Roman" w:hAnsi="Times New Roman" w:cs="Times New Roman"/>
          <w:i/>
          <w:iCs/>
          <w:color w:val="0D0D0D" w:themeColor="text1" w:themeTint="F2"/>
        </w:rPr>
        <w:t>Listeria monocytogenes</w:t>
      </w:r>
      <w:r w:rsidRPr="007E5190">
        <w:rPr>
          <w:rFonts w:ascii="Times New Roman" w:hAnsi="Times New Roman" w:cs="Times New Roman"/>
          <w:color w:val="0D0D0D" w:themeColor="text1" w:themeTint="F2"/>
        </w:rPr>
        <w:t xml:space="preserve"> is a surface protein known as Internalin H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xml:space="preserve">). Unlike other important proteins in the primary invasion,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xml:space="preserve"> is important in the later, systemic phases of infection. Its expression is induced by stress in the host environment, and through this, the bacterium evades the host's immune system by repressing inflammatory signal production such as interleukin-6 (IL-6). This facilitates the survival and dissemination of the bacteria throughout the body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{"citationID":"FsziTZ2U","properties":{"formattedCitation":"[14]","plainCitation":"[14]","noteIndex":0},"citationItems":[{"id":30,"uris":["http://zotero.org/users/local/GoHQ98fS/items/FG8NNK3H"],"itemData":{"id":30,"type":"article-journal","abstract":"ABSTRACT\n            \n              The genome of the pathogenic bacterium\n              Listeria monocytogenes\n              contains a family of genes encoding proteins with a leucine-rich repeat domain. One of these genes,\n              inlH\n              , is a σ\n              B\n              -dependent virulence gene of unknown function. Previously,\n              inlH\n              was proposed to be coexpressed with two adjacent internalin genes,\n              inlG\n              and\n              inlE\n              . Using tiling arrays, we showed that\n              inlH\n              expression is monocistronic and specifically induced in stationary phase as well as in the intestinal lumen of mice, independent of\n              inlG\n              and\n              inlE\n              expression. Consistent with\n              inlH\n              σ\n              B\n              -dependent regulation, surface expression of the InlH protein is induced when bacteria are subjected to thermal, acidic, osmotic, or oxidative stress. Disruption of\n              inlH\n              increases the amount of the invasion protein InlA without changing\n              inlA\n              transcript level, suggesting that there is a link between\n              inlH\n              expression and\n              inlA\n              posttranscriptional regulation. However, in contrast to InlA, InlH does not contribute to bacterial invasion of cultured cells\n              in vitro\n              or of intestinal cells\n              in vivo\n              . Strikingly, the reduced virulence of\n              inlH\n              -deficient\n              L. monocytogenes\n              strains is accompanied by enhanced production of interleukin-6 (IL-6) in infected tissues during the systemic phase of murine listeriosis but not by enhanced production of any other inflammatory cytokine tested. Since InlH does not modulate IL-6 secretion in macrophages at least\n              in vitro\n              , it may play a role in other immune cells or contribute to a pathway that modulates survival or activation of IL-6-secreting cells. These results strongly suggest that InlH is a stress-induced surface protein that facilitates pathogen survival in tissues by tempering the inflammatory response.","container-title":"Infection and Immunity","DOI":"10.1128/IAI.01096-09","ISSN":"0019-9567, 1098-5522","issue":"5","journalAbbreviation":"Infect Immun","language":"en","page":"1979-1989","source":"DOI.org (Crossref)","title":"The Stress-Induced Virulence Protein InlH Controls Interleukin-6 Production during Murine Listeriosis","URL":"https://journals.asm.org/doi/10.1128/IAI.01096-09","volume":"78","author":[{"family":"Personnic","given":"Nicolas"},{"family":"Bruck","given":"Serawit"},{"family":"Nahori","given":"Marie-Anne"},{"family":"Toledo-Arana","given":"Alejandro"},{"family":"Nikitas","given":"Giorgos"},{"family":"Lecuit","given":"Marc"},{"family":"Dussurget","given":"Olivier"},{"family":"Cossart","given":"Pascale"},{"family":"Bierne","given":"Hélène"}],"accessed":{"date-parts":[["2025",9,9]]},"issued":{"date-parts":[["2010",5]]}}}],"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[14]</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Due to the important role in pathogenesis,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xml:space="preserve"> is an excellent candidate for a new anti-virulence therapy. Blocking the action of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xml:space="preserve"> may boost the host's immune response to eliminate the infection.</w:t>
      </w:r>
    </w:p>
    <w:p w14:paraId="3B9C1C5C" w14:textId="4D13F8DB"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To address this challenge, this study </w:t>
      </w:r>
      <w:proofErr w:type="gramStart"/>
      <w:r w:rsidRPr="007E5190">
        <w:rPr>
          <w:rFonts w:ascii="Times New Roman" w:hAnsi="Times New Roman" w:cs="Times New Roman"/>
          <w:color w:val="0D0D0D" w:themeColor="text1" w:themeTint="F2"/>
        </w:rPr>
        <w:t>utilize</w:t>
      </w:r>
      <w:r w:rsidR="00A900AC" w:rsidRPr="007E5190">
        <w:rPr>
          <w:rFonts w:ascii="Times New Roman" w:hAnsi="Times New Roman" w:cs="Times New Roman"/>
          <w:color w:val="0D0D0D" w:themeColor="text1" w:themeTint="F2"/>
        </w:rPr>
        <w:t>d</w:t>
      </w:r>
      <w:proofErr w:type="gramEnd"/>
      <w:r w:rsidRPr="007E5190">
        <w:rPr>
          <w:rFonts w:ascii="Times New Roman" w:hAnsi="Times New Roman" w:cs="Times New Roman"/>
          <w:color w:val="0D0D0D" w:themeColor="text1" w:themeTint="F2"/>
        </w:rPr>
        <w:t xml:space="preserve"> </w:t>
      </w:r>
      <w:r w:rsidRPr="007E5190">
        <w:rPr>
          <w:rFonts w:ascii="Times New Roman" w:hAnsi="Times New Roman" w:cs="Times New Roman"/>
          <w:i/>
          <w:iCs/>
          <w:color w:val="0D0D0D" w:themeColor="text1" w:themeTint="F2"/>
        </w:rPr>
        <w:t>in silico</w:t>
      </w:r>
      <w:r w:rsidRPr="007E5190">
        <w:rPr>
          <w:rFonts w:ascii="Times New Roman" w:hAnsi="Times New Roman" w:cs="Times New Roman"/>
          <w:color w:val="0D0D0D" w:themeColor="text1" w:themeTint="F2"/>
        </w:rPr>
        <w:t xml:space="preserve"> drug discovery methods. This is among the newer methods that utilize</w:t>
      </w:r>
      <w:r w:rsidR="00A900AC" w:rsidRPr="007E5190">
        <w:rPr>
          <w:rFonts w:ascii="Times New Roman" w:hAnsi="Times New Roman" w:cs="Times New Roman"/>
          <w:color w:val="0D0D0D" w:themeColor="text1" w:themeTint="F2"/>
        </w:rPr>
        <w:t>d</w:t>
      </w:r>
      <w:r w:rsidRPr="007E5190">
        <w:rPr>
          <w:rFonts w:ascii="Times New Roman" w:hAnsi="Times New Roman" w:cs="Times New Roman"/>
          <w:color w:val="0D0D0D" w:themeColor="text1" w:themeTint="F2"/>
        </w:rPr>
        <w:t xml:space="preserve"> computer models and algorithms to predict how potential drug leads will respond to target proteins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{"citationID":"zSMaiaxx","properties":{"formattedCitation":"[15]","plainCitation":"[15]","noteIndex":0},"citationItems":[{"id":19,"uris":["http://zotero.org/users/local/GoHQ98fS/items/8FA4XL8D"],"itemData":{"id":19,"type":"article-journal","abstract":"There have been numerous advances in the development of computational and statistical methods and applications of big data and artificial intelligence (AI) techniques for computer-aided drug design (CADD). Drug design is a costly and laborious process considering the biological complexity of diseases. To effectively and efficiently design and develop a new drug, CADD can be used to apply cutting-edge techniques to various limitations in the drug design field. Data pre-processing approaches, which clean the raw data for consistent and reproducible applications of big data and AI methods are introduced. We include the current status of the applicability of big data and AI methods to drug design areas such as the identification of binding sites in target proteins, structure-based virtual screening (SBVS), and absorption, distribution, metabolism, excretion and toxicity (ADMET) property prediction. Data pre-processing and applications of big data and AI methods enable the accurate and comprehensive analysis of massive biomedical data and the development of predictive models in the field of drug design. Understanding and analyzing biological, chemical, or pharmaceutical architectures of biomedical entities related to drug design will provide beneficial information in the biomedical big data era.","container-title":"Biochemical Society Transactions","DOI":"10.1042/BST20211240","ISSN":"0300-5127, 1470-8752","issue":"1","language":"en","page":"241-252","source":"DOI.org (Crossref)","title":"Big data and artificial intelligence (AI) methodologies for computer-aided drug design (CADD)","URL":"https://portlandpress.com/biochemsoctrans/article/50/1/241/230699/Big-data-and-artificial-intelligence-AI","volume":"50","author":[{"family":"Lee","given":"Jai Woo"},{"family":"Maria-Solano","given":"Miguel A."},{"family":"Vu","given":"Thi Ngoc Lan"},{"family":"Yoon","given":"Sanghee"},{"family":"Choi","given":"Sun"}],"accessed":{"date-parts":[["2025",9,9]]},"issued":{"date-parts":[["2022",2,28]]}}}],"schema":"https://github.com/citation-style-language/schema/raw/master/csl-citation.json"}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[15]</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Methods like molecular docking and virtual screening, among other techniques, allow researchers to rapidly sort through extensive libraries of chemical compounds to identify promising leads in a very short time with high speed and efficiency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{"citationID":"fli1cQSx","properties":{"formattedCitation":"[16]","plainCitation":"[16]","noteIndex":0},"citationItems":[{"id":40,"uris":["http://zotero.org/users/local/GoHQ98fS/items/B58KFCD6"],"itemData":{"id":40,"type":"article-journal","container-title":"Molecular Systems Biology","DOI":"10.15252/msb.202211081","ISSN":"1744-4292, 1744-4292","issue":"9","journalAbbreviation":"Molecular Systems Biology","language":"en","page":"e11081","source":"DOI.org (Crossref)","title":"Benchmarking &lt;span style=\"font-variant:small-caps;\"&gt;AlphaFold&lt;/span&gt; ‐enabled molecular docking predictions for antibiotic discovery","title-short":"Benchmarking &lt;span style=\"font-variant","URL":"https://www.embopress.org/doi/10.15252/msb.202211081","volume":"18","author":[{"family":"Wong","given":"Felix"},{"family":"Krishnan","given":"Aarti"},{"family":"Zheng","given":"Erica J"},{"family":"Stärk","given":"Hannes"},{"family":"Manson","given":"Abigail L"},{"family":"Earl","given":"Ashlee M"},{"family":"Jaakkola","given":"Tommi"},{"family":"Collins","given":"James J"}],"accessed":{"date-parts":[["2025",9,9]]},"issued":{"date-parts":[["2022",9]]}}}],"schema":"https://github.com/citation-style-language/schema/raw/master/csl-citation.json"}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[16]</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The process reduces time spent carrying out experiments as well as their cost when </w:t>
      </w:r>
      <w:r w:rsidR="00D336B2" w:rsidRPr="007E5190">
        <w:rPr>
          <w:rFonts w:ascii="Times New Roman" w:hAnsi="Times New Roman" w:cs="Times New Roman"/>
          <w:color w:val="0D0D0D" w:themeColor="text1" w:themeTint="F2"/>
        </w:rPr>
        <w:t xml:space="preserve">compared </w:t>
      </w:r>
      <w:r w:rsidRPr="007E5190">
        <w:rPr>
          <w:rFonts w:ascii="Times New Roman" w:hAnsi="Times New Roman" w:cs="Times New Roman"/>
          <w:color w:val="0D0D0D" w:themeColor="text1" w:themeTint="F2"/>
        </w:rPr>
        <w:t xml:space="preserve">to classical lab-based experiments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{"citationID":"SDat9NdW","properties":{"formattedCitation":"[17]","plainCitation":"[17]","noteIndex":0},"citationItems":[{"id":4,"uris":["http://zotero.org/users/local/GoHQ98fS/items/LZ6NMHCE"],"itemData":{"id":4,"type":"article-journal","abstract":"Computational approaches represent valuable and essential tools in each step of the drug discovery and development trajectory [...]","container-title":"Molecules","DOI":"10.3390/molecules24173061","ISSN":"1420-3049","issue":"17","journalAbbreviation":"Molecules","language":"en","license":"https://creativecommons.org/licenses/by/4.0/","page":"3061","source":"DOI.org (Crossref)","title":"Computational Approaches for Drug Discovery","URL":"https://www.mdpi.com/1420-3049/24/17/3061","volume":"24","author":[{"family":"Brogi","given":"Simone"}],"accessed":{"date-parts":[["2025",9,9]]},"issued":{"date-parts":[["2019",8,22]]}}}],"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[17]</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w:t>
      </w:r>
    </w:p>
    <w:p w14:paraId="6EF8C7FE" w14:textId="2B5B0DD8" w:rsidR="00F12626" w:rsidRPr="007E5190" w:rsidRDefault="00776983"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To address this challenge, c</w:t>
      </w:r>
      <w:r w:rsidR="006D77C5" w:rsidRPr="007E5190">
        <w:rPr>
          <w:rFonts w:ascii="Times New Roman" w:hAnsi="Times New Roman" w:cs="Times New Roman"/>
          <w:color w:val="0D0D0D" w:themeColor="text1" w:themeTint="F2"/>
        </w:rPr>
        <w:t>omputational workflows have become indispensable in modern drug discovery, offering a rapid and cost-effective alternative to traditional high-throughput screening</w:t>
      </w:r>
      <w:r w:rsidR="00D53A6C" w:rsidRPr="007E5190">
        <w:rPr>
          <w:rFonts w:ascii="Times New Roman" w:hAnsi="Times New Roman" w:cs="Times New Roman"/>
          <w:color w:val="0D0D0D" w:themeColor="text1" w:themeTint="F2"/>
        </w:rPr>
        <w:t xml:space="preserve"> </w:t>
      </w:r>
      <w:r w:rsidR="00147ED3" w:rsidRPr="007E5190">
        <w:rPr>
          <w:rFonts w:ascii="Times New Roman" w:hAnsi="Times New Roman" w:cs="Times New Roman"/>
          <w:color w:val="0D0D0D" w:themeColor="text1" w:themeTint="F2"/>
        </w:rPr>
        <w:fldChar w:fldCharType="begin"/>
      </w:r>
      <w:r w:rsidR="00147ED3" w:rsidRPr="007E5190">
        <w:rPr>
          <w:rFonts w:ascii="Times New Roman" w:hAnsi="Times New Roman" w:cs="Times New Roman"/>
          <w:color w:val="0D0D0D" w:themeColor="text1" w:themeTint="F2"/>
        </w:rPr>
        <w:instrText xml:space="preserve"> ADDIN ZOTERO_ITEM CSL_CITATION {"citationID":"HyR3u3EK","properties":{"formattedCitation":"[15,17]","plainCitation":"[15,17]","noteIndex":0},"citationItems":[{"id":19,"uris":["http://zotero.org/users/local/GoHQ98fS/items/8FA4XL8D"],"itemData":{"id":19,"type":"article-journal","abstract":"There have been numerous advances in the development of computational and statistical methods and applications of big data and artificial intelligence (AI) techniques for computer-aided drug design (CADD). Drug design is a costly and laborious process considering the biological complexity of diseases. To effectively and efficiently design and develop a new drug, CADD can be used to apply cutting-edge techniques to various limitations in the drug design field. Data pre-processing approaches, which clean the raw data for consistent and reproducible applications of big data and AI methods are introduced. We include the current status of the applicability of big data and AI methods to drug design areas such as the identification of binding sites in target proteins, structure-based virtual screening (SBVS), and absorption, distribution, metabolism, excretion and toxicity (ADMET) property prediction. Data pre-processing and applications of big data and AI methods enable the accurate and comprehensive analysis of massive biomedical data and the development of predictive models in the field of drug design. Understanding and analyzing biological, chemical, or pharmaceutical architectures of biomedical entities related to drug design will provide beneficial information in the biomedical big data era.","container-title":"Biochemical Society Transactions","DOI":"10.1042/BST20211240","ISSN":"0300-5127, 1470-8752","issue":"1","language":"en","page":"241-252","source":"DOI.org (Crossref)","title":"Big data and artificial intelligence (AI) methodologies for computer-aided drug design (CADD)","URL":"https://portlandpress.com/biochemsoctrans/article/50/1/241/230699/Big-data-and-artificial-intelligence-AI","volume":"50","author":[{"family":"Lee","given":"Jai Woo"},{"family":"Maria-Solano","given":"Miguel A."},{"family":"Vu","given":"Thi Ngoc Lan"},{"family":"Yoon","given":"Sanghee"},{"family":"Choi","given":"Sun"}],"accessed":{"date-parts":[["2025",9,9]]},"issued":{"date-parts":[["2022",2,28]]}}},{"id":4,"uris":["http://zotero.org/users/local/GoHQ98fS/items/LZ6NMHCE"],"itemData":{"id":4,"type":"article-journal","abstract":"Computational approaches represent valuable and essential tools in each step of the drug discovery and development trajectory [...]","container-title":"Molecules","DOI":"10.3390/molecules24173061","ISSN":"1420-3049","issue":"17","journalAbbreviation":"Molecules","language":"en","license":"https://creativecommons.org/licenses/by/4.0/","page":"3061","source":"DOI.org (Crossref)","title":"Computational Approaches for Drug Discovery","URL":"https://www.mdpi.com/1420-3049/24/17/3061","volume":"24","author":[{"family":"Brogi","given":"Simone"}],"accessed":{"date-parts":[["2025",9,9]]},"issued":{"date-parts":[["2019",8,22]]}}}],"schema":"https://github.com/citation-style-language/schema/raw/master/csl-citation.json"} </w:instrText>
      </w:r>
      <w:r w:rsidR="00147ED3" w:rsidRPr="007E5190">
        <w:rPr>
          <w:rFonts w:ascii="Times New Roman" w:hAnsi="Times New Roman" w:cs="Times New Roman"/>
          <w:color w:val="0D0D0D" w:themeColor="text1" w:themeTint="F2"/>
        </w:rPr>
        <w:fldChar w:fldCharType="separate"/>
      </w:r>
      <w:r w:rsidR="00147ED3" w:rsidRPr="007E5190">
        <w:rPr>
          <w:rFonts w:ascii="Times New Roman" w:hAnsi="Times New Roman" w:cs="Times New Roman"/>
        </w:rPr>
        <w:t>[15,17]</w:t>
      </w:r>
      <w:r w:rsidR="00147ED3" w:rsidRPr="007E5190">
        <w:rPr>
          <w:rFonts w:ascii="Times New Roman" w:hAnsi="Times New Roman" w:cs="Times New Roman"/>
          <w:color w:val="0D0D0D" w:themeColor="text1" w:themeTint="F2"/>
        </w:rPr>
        <w:fldChar w:fldCharType="end"/>
      </w:r>
      <w:r w:rsidR="006D77C5" w:rsidRPr="007E5190">
        <w:rPr>
          <w:rFonts w:ascii="Times New Roman" w:hAnsi="Times New Roman" w:cs="Times New Roman"/>
          <w:color w:val="0D0D0D" w:themeColor="text1" w:themeTint="F2"/>
        </w:rPr>
        <w:t xml:space="preserve">. By filtering vast chemical libraries and predicting pharmacokinetic failures early in the process, </w:t>
      </w:r>
      <w:r w:rsidR="006D77C5" w:rsidRPr="007E5190">
        <w:rPr>
          <w:rFonts w:ascii="Times New Roman" w:hAnsi="Times New Roman" w:cs="Times New Roman"/>
          <w:i/>
          <w:iCs/>
          <w:color w:val="0D0D0D" w:themeColor="text1" w:themeTint="F2"/>
        </w:rPr>
        <w:t>in silico</w:t>
      </w:r>
      <w:r w:rsidR="006D77C5" w:rsidRPr="007E5190">
        <w:rPr>
          <w:rFonts w:ascii="Times New Roman" w:hAnsi="Times New Roman" w:cs="Times New Roman"/>
          <w:color w:val="0D0D0D" w:themeColor="text1" w:themeTint="F2"/>
        </w:rPr>
        <w:t xml:space="preserve"> methods significantly accelerate the identification of viable lead compounds</w:t>
      </w:r>
      <w:r w:rsidR="003B21DD" w:rsidRPr="007E5190">
        <w:rPr>
          <w:rFonts w:ascii="Times New Roman" w:hAnsi="Times New Roman" w:cs="Times New Roman"/>
          <w:color w:val="0D0D0D" w:themeColor="text1" w:themeTint="F2"/>
        </w:rPr>
        <w:t xml:space="preserve"> </w:t>
      </w:r>
      <w:r w:rsidR="003B21DD" w:rsidRPr="007E5190">
        <w:rPr>
          <w:rFonts w:ascii="Times New Roman" w:hAnsi="Times New Roman" w:cs="Times New Roman"/>
          <w:color w:val="0D0D0D" w:themeColor="text1" w:themeTint="F2"/>
        </w:rPr>
        <w:fldChar w:fldCharType="begin"/>
      </w:r>
      <w:r w:rsidR="003B21DD" w:rsidRPr="007E5190">
        <w:rPr>
          <w:rFonts w:ascii="Times New Roman" w:hAnsi="Times New Roman" w:cs="Times New Roman"/>
          <w:color w:val="0D0D0D" w:themeColor="text1" w:themeTint="F2"/>
        </w:rPr>
        <w:instrText xml:space="preserve"> ADDIN ZOTERO_ITEM CSL_CITATION {"citationID":"5UJSHENc","properties":{"formattedCitation":"[16]","plainCitation":"[16]","noteIndex":0},"citationItems":[{"id":40,"uris":["http://zotero.org/users/local/GoHQ98fS/items/B58KFCD6"],"itemData":{"id":40,"type":"article-journal","container-title":"Molecular Systems Biology","DOI":"10.15252/msb.202211081","ISSN":"1744-4292, 1744-4292","issue":"9","journalAbbreviation":"Molecular Systems Biology","language":"en","page":"e11081","source":"DOI.org (Crossref)","title":"Benchmarking &lt;span style=\"font-variant:small-caps;\"&gt;AlphaFold&lt;/span&gt; ‐enabled molecular docking predictions for antibiotic discovery","title-short":"Benchmarking &lt;span style=\"font-variant","URL":"https://www.embopress.org/doi/10.15252/msb.202211081","volume":"18","author":[{"family":"Wong","given":"Felix"},{"family":"Krishnan","given":"Aarti"},{"family":"Zheng","given":"Erica J"},{"family":"Stärk","given":"Hannes"},{"family":"Manson","given":"Abigail L"},{"family":"Earl","given":"Ashlee M"},{"family":"Jaakkola","given":"Tommi"},{"family":"Collins","given":"James J"}],"accessed":{"date-parts":[["2025",9,9]]},"issued":{"date-parts":[["2022",9]]}}}],"schema":"https://github.com/citation-style-language/schema/raw/master/csl-citation.json"} </w:instrText>
      </w:r>
      <w:r w:rsidR="003B21DD" w:rsidRPr="007E5190">
        <w:rPr>
          <w:rFonts w:ascii="Times New Roman" w:hAnsi="Times New Roman" w:cs="Times New Roman"/>
          <w:color w:val="0D0D0D" w:themeColor="text1" w:themeTint="F2"/>
        </w:rPr>
        <w:fldChar w:fldCharType="separate"/>
      </w:r>
      <w:r w:rsidR="003B21DD" w:rsidRPr="007E5190">
        <w:rPr>
          <w:rFonts w:ascii="Times New Roman" w:hAnsi="Times New Roman" w:cs="Times New Roman"/>
        </w:rPr>
        <w:t>[16]</w:t>
      </w:r>
      <w:r w:rsidR="003B21DD" w:rsidRPr="007E5190">
        <w:rPr>
          <w:rFonts w:ascii="Times New Roman" w:hAnsi="Times New Roman" w:cs="Times New Roman"/>
          <w:color w:val="0D0D0D" w:themeColor="text1" w:themeTint="F2"/>
        </w:rPr>
        <w:fldChar w:fldCharType="end"/>
      </w:r>
      <w:r w:rsidR="006D77C5" w:rsidRPr="007E5190">
        <w:rPr>
          <w:rFonts w:ascii="Times New Roman" w:hAnsi="Times New Roman" w:cs="Times New Roman"/>
          <w:color w:val="0D0D0D" w:themeColor="text1" w:themeTint="F2"/>
        </w:rPr>
        <w:t xml:space="preserve">. </w:t>
      </w:r>
      <w:r w:rsidR="00FD5F77" w:rsidRPr="007E5190">
        <w:rPr>
          <w:rFonts w:ascii="Times New Roman" w:hAnsi="Times New Roman" w:cs="Times New Roman"/>
          <w:color w:val="0D0D0D" w:themeColor="text1" w:themeTint="F2"/>
        </w:rPr>
        <w:t xml:space="preserve">Even though the structure of the crystal of </w:t>
      </w:r>
      <w:proofErr w:type="spellStart"/>
      <w:r w:rsidR="00FD5F77" w:rsidRPr="007E5190">
        <w:rPr>
          <w:rFonts w:ascii="Times New Roman" w:hAnsi="Times New Roman" w:cs="Times New Roman"/>
          <w:color w:val="0D0D0D" w:themeColor="text1" w:themeTint="F2"/>
        </w:rPr>
        <w:t>InlH</w:t>
      </w:r>
      <w:proofErr w:type="spellEnd"/>
      <w:r w:rsidR="00FD5F77" w:rsidRPr="007E5190">
        <w:rPr>
          <w:rFonts w:ascii="Times New Roman" w:hAnsi="Times New Roman" w:cs="Times New Roman"/>
          <w:color w:val="0D0D0D" w:themeColor="text1" w:themeTint="F2"/>
        </w:rPr>
        <w:t xml:space="preserve"> is available in PDB, there has been limited systematic screening of chemical compounds to find potential </w:t>
      </w:r>
      <w:proofErr w:type="spellStart"/>
      <w:r w:rsidR="00FD5F77" w:rsidRPr="007E5190">
        <w:rPr>
          <w:rFonts w:ascii="Times New Roman" w:hAnsi="Times New Roman" w:cs="Times New Roman"/>
          <w:color w:val="0D0D0D" w:themeColor="text1" w:themeTint="F2"/>
        </w:rPr>
        <w:t>InlH</w:t>
      </w:r>
      <w:proofErr w:type="spellEnd"/>
      <w:r w:rsidR="00FD5F77" w:rsidRPr="007E5190">
        <w:rPr>
          <w:rFonts w:ascii="Times New Roman" w:hAnsi="Times New Roman" w:cs="Times New Roman"/>
          <w:color w:val="0D0D0D" w:themeColor="text1" w:themeTint="F2"/>
        </w:rPr>
        <w:t xml:space="preserve"> inhibitors. One significant challenge in the process of discovering drugs is that most candidates fail in later stages due to unfavorable ADMET profiles </w:t>
      </w:r>
      <w:r w:rsidR="00FD5F77" w:rsidRPr="007E5190">
        <w:rPr>
          <w:rFonts w:ascii="Times New Roman" w:hAnsi="Times New Roman" w:cs="Times New Roman"/>
          <w:color w:val="0D0D0D" w:themeColor="text1" w:themeTint="F2"/>
        </w:rPr>
        <w:fldChar w:fldCharType="begin"/>
      </w:r>
      <w:r w:rsidR="00FD5F77" w:rsidRPr="007E5190">
        <w:rPr>
          <w:rFonts w:ascii="Times New Roman" w:hAnsi="Times New Roman" w:cs="Times New Roman"/>
          <w:color w:val="0D0D0D" w:themeColor="text1" w:themeTint="F2"/>
        </w:rPr>
        <w:instrText xml:space="preserve"> ADDIN ZOTERO_ITEM CSL_CITATION {"citationID":"N3tXHjie","properties":{"formattedCitation":"[18]","plainCitation":"[18]","noteIndex":0},"citationItems":[{"id":16,"uris":["http://zotero.org/users/local/GoHQ98fS/items/APNHHMY2"],"itemData":{"id":16,"type":"article-journal","abstract":"Chemical absorption, distribution, metabolism, excretion, and toxicity (ADMET), play key roles in drug discovery and development.\n          , \n            \n              Chemical absorption, distribution, metabolism, excretion, and toxicity (ADMET), play key roles in drug discovery and development. A high-quality drug candidate should not only have sufficient efficacy against the therapeutic target, but also show appropriate ADMET properties at a therapeutic dose. A lot of\n              in silico\n              models are hence developed for prediction of chemical ADMET properties. However, it is still not easy to evaluate the drug-likeness of compounds in terms of so many ADMET properties. In this study, we proposed a scoring function named the ADMET-score to evaluate drug-likeness of a compound. The scoring function was defined on the basis of 18 ADMET properties predicted\n              via\n              our web server admetSAR. The weight of each property in the ADMET-score was determined by three parameters: the accuracy rate of the model, the importance of the endpoint in the process of pharmacokinetics, and the usefulness index. The FDA-approved drugs from DrugBank, the small molecules from ChEMBL and the old drugs withdrawn from the market due to safety concerns were used to evaluate the performance of the ADMET-score. The indices of the arithmetic mean and\n              p\n              -value showed that the ADMET-score among the three data sets differed significantly. Furthermore, we learned that there was no obvious linear correlation between the ADMET-score and QED (quantitative estimate of drug-likeness). These results suggested that the ADMET-score would be a comprehensive index to evaluate chemical drug-likeness, and might be helpful for users to select appropriate drug candidates for further development.","container-title":"MedChemComm","DOI":"10.1039/C8MD00472B","ISSN":"2040-2503, 2040-2511","issue":"1","journalAbbreviation":"Med. Chem. Commun.","language":"en","page":"148-157","source":"DOI.org (Crossref)","title":"ADMET-score – a comprehensive scoring function for evaluation of chemical drug-likeness","URL":"https://xlink.rsc.org/?DOI=C8MD00472B","volume":"10","author":[{"family":"Guan","given":"Longfei"},{"family":"Yang","given":"Hongbin"},{"family":"Cai","given":"Yingchun"},{"family":"Sun","given":"Lixia"},{"family":"Di","given":"Peiwen"},{"family":"Li","given":"Weihua"},{"family":"Liu","given":"Guixia"},{"family":"Tang","given":"Yun"}],"accessed":{"date-parts":[["2025",9,9]]},"issued":{"date-parts":[["2019"]]}}}],"schema":"https://github.com/citation-style-language/schema/raw/master/csl-citation.json"} </w:instrText>
      </w:r>
      <w:r w:rsidR="00FD5F77" w:rsidRPr="007E5190">
        <w:rPr>
          <w:rFonts w:ascii="Times New Roman" w:hAnsi="Times New Roman" w:cs="Times New Roman"/>
          <w:color w:val="0D0D0D" w:themeColor="text1" w:themeTint="F2"/>
        </w:rPr>
        <w:fldChar w:fldCharType="separate"/>
      </w:r>
      <w:r w:rsidR="00FD5F77" w:rsidRPr="007E5190">
        <w:rPr>
          <w:rFonts w:ascii="Times New Roman" w:hAnsi="Times New Roman" w:cs="Times New Roman"/>
          <w:color w:val="0D0D0D" w:themeColor="text1" w:themeTint="F2"/>
        </w:rPr>
        <w:t>[18]</w:t>
      </w:r>
      <w:r w:rsidR="00FD5F77" w:rsidRPr="007E5190">
        <w:rPr>
          <w:rFonts w:ascii="Times New Roman" w:hAnsi="Times New Roman" w:cs="Times New Roman"/>
          <w:color w:val="0D0D0D" w:themeColor="text1" w:themeTint="F2"/>
        </w:rPr>
        <w:fldChar w:fldCharType="end"/>
      </w:r>
      <w:r w:rsidR="00FD5F77" w:rsidRPr="007E5190">
        <w:rPr>
          <w:rFonts w:ascii="Times New Roman" w:hAnsi="Times New Roman" w:cs="Times New Roman"/>
          <w:color w:val="0D0D0D" w:themeColor="text1" w:themeTint="F2"/>
        </w:rPr>
        <w:t>. This study seeks to bridge that gap through the application of a structure-</w:t>
      </w:r>
      <w:proofErr w:type="gramStart"/>
      <w:r w:rsidR="00FD5F77" w:rsidRPr="007E5190">
        <w:rPr>
          <w:rFonts w:ascii="Times New Roman" w:hAnsi="Times New Roman" w:cs="Times New Roman"/>
          <w:color w:val="0D0D0D" w:themeColor="text1" w:themeTint="F2"/>
        </w:rPr>
        <w:t xml:space="preserve">based </w:t>
      </w:r>
      <w:r w:rsidR="00FD5F77" w:rsidRPr="007E5190">
        <w:rPr>
          <w:rFonts w:ascii="Times New Roman" w:hAnsi="Times New Roman" w:cs="Times New Roman"/>
          <w:i/>
          <w:iCs/>
          <w:color w:val="0D0D0D" w:themeColor="text1" w:themeTint="F2"/>
        </w:rPr>
        <w:t>in</w:t>
      </w:r>
      <w:proofErr w:type="gramEnd"/>
      <w:r w:rsidR="00FD5F77" w:rsidRPr="007E5190">
        <w:rPr>
          <w:rFonts w:ascii="Times New Roman" w:hAnsi="Times New Roman" w:cs="Times New Roman"/>
          <w:i/>
          <w:iCs/>
          <w:color w:val="0D0D0D" w:themeColor="text1" w:themeTint="F2"/>
        </w:rPr>
        <w:t xml:space="preserve"> silico</w:t>
      </w:r>
      <w:r w:rsidR="00FD5F77" w:rsidRPr="007E5190">
        <w:rPr>
          <w:rFonts w:ascii="Times New Roman" w:hAnsi="Times New Roman" w:cs="Times New Roman"/>
          <w:color w:val="0D0D0D" w:themeColor="text1" w:themeTint="F2"/>
        </w:rPr>
        <w:t xml:space="preserve"> method. </w:t>
      </w:r>
      <w:proofErr w:type="gramStart"/>
      <w:r w:rsidR="006D77C5" w:rsidRPr="007E5190">
        <w:rPr>
          <w:rFonts w:ascii="Times New Roman" w:hAnsi="Times New Roman" w:cs="Times New Roman"/>
          <w:color w:val="0D0D0D" w:themeColor="text1" w:themeTint="F2"/>
        </w:rPr>
        <w:t>Through the use of</w:t>
      </w:r>
      <w:proofErr w:type="gramEnd"/>
      <w:r w:rsidR="006D77C5" w:rsidRPr="007E5190">
        <w:rPr>
          <w:rFonts w:ascii="Times New Roman" w:hAnsi="Times New Roman" w:cs="Times New Roman"/>
          <w:color w:val="0D0D0D" w:themeColor="text1" w:themeTint="F2"/>
        </w:rPr>
        <w:t xml:space="preserve"> molecular docking software such as </w:t>
      </w:r>
      <w:proofErr w:type="spellStart"/>
      <w:r w:rsidR="006D77C5" w:rsidRPr="007E5190">
        <w:rPr>
          <w:rFonts w:ascii="Times New Roman" w:hAnsi="Times New Roman" w:cs="Times New Roman"/>
          <w:color w:val="0D0D0D" w:themeColor="text1" w:themeTint="F2"/>
        </w:rPr>
        <w:t>AutoDock</w:t>
      </w:r>
      <w:proofErr w:type="spellEnd"/>
      <w:r w:rsidR="006D77C5" w:rsidRPr="007E5190">
        <w:rPr>
          <w:rFonts w:ascii="Times New Roman" w:hAnsi="Times New Roman" w:cs="Times New Roman"/>
          <w:color w:val="0D0D0D" w:themeColor="text1" w:themeTint="F2"/>
        </w:rPr>
        <w:t xml:space="preserve"> Vina as well as ADMET (Absorption, Distribution, Metabolism, Excretion, and Toxicity) profiling, this study will systematically discover and characterize new small molecules that can inhibit </w:t>
      </w:r>
      <w:proofErr w:type="spellStart"/>
      <w:r w:rsidR="006D77C5" w:rsidRPr="007E5190">
        <w:rPr>
          <w:rFonts w:ascii="Times New Roman" w:hAnsi="Times New Roman" w:cs="Times New Roman"/>
          <w:color w:val="0D0D0D" w:themeColor="text1" w:themeTint="F2"/>
        </w:rPr>
        <w:t>InlH</w:t>
      </w:r>
      <w:proofErr w:type="spellEnd"/>
      <w:r w:rsidR="006D77C5" w:rsidRPr="007E5190">
        <w:rPr>
          <w:rFonts w:ascii="Times New Roman" w:hAnsi="Times New Roman" w:cs="Times New Roman"/>
          <w:color w:val="0D0D0D" w:themeColor="text1" w:themeTint="F2"/>
        </w:rPr>
        <w:t xml:space="preserve"> to pave the way for the formulation of new anti-</w:t>
      </w:r>
      <w:proofErr w:type="spellStart"/>
      <w:r w:rsidR="006D77C5" w:rsidRPr="007E5190">
        <w:rPr>
          <w:rFonts w:ascii="Times New Roman" w:hAnsi="Times New Roman" w:cs="Times New Roman"/>
          <w:color w:val="0D0D0D" w:themeColor="text1" w:themeTint="F2"/>
        </w:rPr>
        <w:t>listerial</w:t>
      </w:r>
      <w:proofErr w:type="spellEnd"/>
      <w:r w:rsidR="006D77C5" w:rsidRPr="007E5190">
        <w:rPr>
          <w:rFonts w:ascii="Times New Roman" w:hAnsi="Times New Roman" w:cs="Times New Roman"/>
          <w:color w:val="0D0D0D" w:themeColor="text1" w:themeTint="F2"/>
        </w:rPr>
        <w:t xml:space="preserve"> medicines.</w:t>
      </w:r>
    </w:p>
    <w:p w14:paraId="591D3B8E" w14:textId="77777777"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However, while molecular docking is a powerful and efficient tool for high-throughput screening, it is fundamentally a static model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{"citationID":"i3p7Wa3q","properties":{"formattedCitation":"[19,20]","plainCitation":"[19,20]","noteIndex":0},"citationItems":[{"id":157,"uris":["http://zotero.org/users/local/GoHQ98fS/items/ZBYM2SW2"],"itemData":{"id":157,"type":"article-journal","abstract":"Docking methodology aims to predict the experimental binding modes and affinities of small molecules within the binding site of particular receptor targets and is currently used as a standard computational tool in drug design for lead compound optimisation and in virtual screening studies to find novel biologically active molecules. The basic tools of a docking methodology include a search algorithm and an energy scoring function for generating and evaluating ligand poses. In this review, we present the search algorithms and scoring functions most commonly used in current molecular docking methods that focus on protein–ligand applications. We summarise the main topics and recent computational and methodological advances in protein–ligand docking. Protein flexibility, multiple ligand binding modes and the free-energy landscape profile for binding affinity prediction are important and interconnected challenges to be overcome by further methodological developments in the docking field.","container-title":"Biophysical Reviews","DOI":"10.1007/s12551-013-0130-2","ISSN":"1867-2469","issue":"1","journalAbbreviation":"Biophysical Reviews","page":"75-87","title":"Receptor–ligand molecular docking","URL":"https://doi.org/10.1007/s12551-013-0130-2","volume":"6","author":[{"family":"Guedes","given":"Isabella A."},{"family":"Magalhães","given":"Camila S.","non-dropping-particle":"de"},{"family":"Dardenne","given":"Laurent E."}],"issued":{"date-parts":[["2014",3,1]]}}},{"id":59,"uris":["http://zotero.org/users/local/GoHQ98fS/items/6NEHZYF4"],"itemData":{"id":59,"type":"article-journal","container-title":"Current Computer Aided-Drug Design","DOI":"10.2174/157340911795677602","ISSN":"15734099","issue":"2","journalAbbreviation":"CAD","language":"en","page":"146-157","source":"DOI.org (Crossref)","title":"Molecular Docking: A Powerful Approach for Structure-Based Drug Discovery","title-short":"Molecular Docking","URL":"http://www.eurekaselect.com/openurl/content.php?genre=article&amp;issn=1573-4099&amp;volume=7&amp;issue=2&amp;spage=146","volume":"7","author":[{"family":"Meng","given":"Xuan-Yu"},{"family":"Zhang","given":"Hong-Xing"},{"family":"Mezei","given":"Mihaly"},{"family":"Cui","given":"Meng"}],"accessed":{"date-parts":[["2025",11,1]]},"issued":{"date-parts":[["2011",6,1]]}}}],"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[19,20]</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It provides a snapshot of a potential binding pose but often cannot fully account for the complex dynamic nature of protein-ligand interactions, such as protein flexibility or the crucial influence of a solvated, physiological environment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{"citationID":"dZHmN6FW","properties":{"formattedCitation":"[21]","plainCitation":"[21]","noteIndex":0},"citationItems":[{"id":62,"uris":["http://zotero.org/users/local/GoHQ98fS/items/WXFESC9S"],"itemData":{"id":62,"type":"article-journal","container-title":"Journal of Medicinal Chemistry","DOI":"10.1021/acs.jmedchem.5b01684","ISSN":"0022-2623, 1520-4804","issue":"9","journalAbbreviation":"J. Med. Chem.","language":"en","license":"http://pubs.acs.org/page/policy/authorchoice_termsofuse.html","page":"4035-4061","source":"DOI.org (Crossref)","title":"Role of Molecular Dynamics and Related Methods in Drug Discovery","URL":"https://pubs.acs.org/doi/10.1021/acs.jmedchem.5b01684","volume":"59","author":[{"family":"De Vivo","given":"Marco"},{"family":"Masetti","given":"Matteo"},{"family":"Bottegoni","given":"Giovanni"},{"family":"Cavalli","given":"Andrea"}],"accessed":{"date-parts":[["2025",11,1]]},"issued":{"date-parts":[["2016",5,12]]}}}],"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[21]</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The scoring functions used in docking, while excellent for rapid screening, also have limitations in their accuracy for the precise ranking of binding affinities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{"citationID":"HHQAmvES","properties":{"formattedCitation":"[22,23]","plainCitation":"[22,23]","noteIndex":0},"citationItems":[{"id":169,"uris":["http://zotero.org/users/local/GoHQ98fS/items/9QRQDNKZ"],"itemData":{"id":169,"type":"article-journal","container-title":"Expert Opinion on Drug Discovery","DOI":"10.1517/17460441.2015.1032936","ISSN":"1746-0441, 1746-045X","issue":"5","journalAbbreviation":"Expert Opinion on Drug Discovery","language":"en","page":"449-461","source":"DOI.org (Crossref)","title":"The MM/PBSA and MM/GBSA methods to estimate ligand-binding affinities","URL":"http://www.tandfonline.com/doi/full/10.1517/17460441.2015.1032936","volume":"10","author":[{"family":"Genheden","given":"Samuel"},{"family":"Ryde","given":"Ulf"}],"accessed":{"date-parts":[["2025",11,2]]},"issued":{"date-parts":[["2015",5,4]]}}},{"id":171,"uris":["http://zotero.org/users/local/GoHQ98fS/items/HLNA7MLT"],"itemData":{"id":171,"type":"article-journal","container-title":"Chemical Reviews","DOI":"10.1021/acs.chemrev.9b00055","ISSN":"0009-2665","issue":"16","journalAbbreviation":"Chem. Rev.","note":"publisher: American Chemical Society","page":"9478-9508","title":"End-Point Binding Free Energy Calculation with MM/PBSA and MM/GBSA: Strategies and Applications in Drug Design","URL":"https://doi.org/10.1021/acs.chemrev.9b00055","volume":"119","author":[{"family":"Wang","given":"Ercheng"},{"family":"Sun","given":"Huiyong"},{"family":"Wang","given":"Junmei"},{"family":"Wang","given":"Zhe"},{"family":"Liu","given":"Hui"},{"family":"Zhang","given":"John Z. H."},{"family":"Hou","given":"Tingjun"}],"issued":{"date-parts":[["2019",8,28]]}}}],"schema":"https://github.com/citation-style-language/schema/raw/master/csl-citation.json"}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[22,23]</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w:t>
      </w:r>
    </w:p>
    <w:p w14:paraId="1B471C1D" w14:textId="4885AFCF" w:rsidR="00F12626" w:rsidRPr="007E5190" w:rsidRDefault="00AD181A"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To overcome these limitations and provide rigorous validation of our top candidates, we used a more robust, multi-layered computational pipeline. The first step was employing all-atom Molecular Dynamics (MD) simulations to assess the stability of the docked poses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{"citationID":"DEiaoFTK","properties":{"formattedCitation":"[21]","plainCitation":"[21]","noteIndex":0},"citationItems":[{"id":62,"uris":["http://zotero.org/users/local/GoHQ98fS/items/WXFESC9S"],"itemData":{"id":62,"type":"article-journal","container-title":"Journal of Medicinal Chemistry","DOI":"10.1021/acs.jmedchem.5b01684","ISSN":"0022-2623, 1520-4804","issue":"9","journalAbbreviation":"J. Med. Chem.","language":"en","license":"http://pubs.acs.org/page/policy/authorchoice_termsofuse.html","page":"4035-4061","source":"DOI.org (Crossref)","title":"Role of Molecular Dynamics and Related Methods in Drug Discovery","URL":"https://pubs.acs.org/doi/10.1021/acs.jmedchem.5b01684","volume":"59","author":[{"family":"De Vivo","given":"Marco"},{"family":"Masetti","given":"Matteo"},{"family":"Bottegoni","given":"Giovanni"},{"family":"Cavalli","given":"Andrea"}],"accessed":{"date-parts":[["2025",11,1]]},"issued":{"date-parts":[["2016",5,12]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[21]</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This </w:t>
      </w:r>
      <w:r w:rsidRPr="007E5190">
        <w:rPr>
          <w:rFonts w:ascii="Times New Roman" w:hAnsi="Times New Roman" w:cs="Times New Roman"/>
          <w:color w:val="0D0D0D" w:themeColor="text1" w:themeTint="F2"/>
        </w:rPr>
        <w:lastRenderedPageBreak/>
        <w:t>involved simulating the physical motion of the protein-ligand complex for 125 ns, which allowed us to verify that the complex remained at a stable equilibrium and that its key intermolecular contacts were preserved.</w:t>
      </w:r>
      <w:r w:rsidR="00D336B2" w:rsidRPr="007E5190">
        <w:rPr>
          <w:rFonts w:ascii="Times New Roman" w:hAnsi="Times New Roman" w:cs="Times New Roman"/>
          <w:color w:val="0D0D0D" w:themeColor="text1" w:themeTint="F2"/>
        </w:rPr>
        <w:t xml:space="preserve"> </w:t>
      </w:r>
      <w:r w:rsidR="00F12626" w:rsidRPr="007E5190">
        <w:rPr>
          <w:rFonts w:ascii="Times New Roman" w:hAnsi="Times New Roman" w:cs="Times New Roman"/>
          <w:color w:val="0D0D0D" w:themeColor="text1" w:themeTint="F2"/>
        </w:rPr>
        <w:t>Following the MD simulations, the Molecular Mechanics/Generalized Born Surface Area (MM/GBSA) method</w:t>
      </w:r>
      <w:r w:rsidR="00F1356B"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was</w:t>
      </w:r>
      <w:r w:rsidR="00F1356B"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employed, which</w:t>
      </w:r>
      <w:r w:rsidR="00F12626" w:rsidRPr="007E5190">
        <w:rPr>
          <w:rFonts w:ascii="Times New Roman" w:hAnsi="Times New Roman" w:cs="Times New Roman"/>
          <w:color w:val="0D0D0D" w:themeColor="text1" w:themeTint="F2"/>
        </w:rPr>
        <w:t xml:space="preserve"> is a well-accepted, "</w:t>
      </w:r>
      <w:r w:rsidR="0026278D" w:rsidRPr="007E5190">
        <w:rPr>
          <w:rFonts w:ascii="Times New Roman" w:hAnsi="Times New Roman" w:cs="Times New Roman"/>
          <w:color w:val="0D0D0D" w:themeColor="text1" w:themeTint="F2"/>
        </w:rPr>
        <w:t>endpoint</w:t>
      </w:r>
      <w:r w:rsidR="00F12626" w:rsidRPr="007E5190">
        <w:rPr>
          <w:rFonts w:ascii="Times New Roman" w:hAnsi="Times New Roman" w:cs="Times New Roman"/>
          <w:color w:val="0D0D0D" w:themeColor="text1" w:themeTint="F2"/>
        </w:rPr>
        <w:t>" calculation</w:t>
      </w:r>
      <w:r w:rsidRPr="007E5190">
        <w:rPr>
          <w:rFonts w:ascii="Times New Roman" w:hAnsi="Times New Roman" w:cs="Times New Roman"/>
          <w:color w:val="0D0D0D" w:themeColor="text1" w:themeTint="F2"/>
        </w:rPr>
        <w:t xml:space="preserve">. This technique </w:t>
      </w:r>
      <w:r w:rsidR="00F12626" w:rsidRPr="007E5190">
        <w:rPr>
          <w:rFonts w:ascii="Times New Roman" w:hAnsi="Times New Roman" w:cs="Times New Roman"/>
          <w:color w:val="0D0D0D" w:themeColor="text1" w:themeTint="F2"/>
        </w:rPr>
        <w:t>provides a more rigorous and physics-based estimation of the binding free energy (</w:t>
      </w:r>
      <m:oMath>
        <m:r>
          <w:rPr>
            <w:rFonts w:ascii="Cambria Math" w:hAnsi="Cambria Math" w:cs="Times New Roman"/>
            <w:color w:val="0D0D0D" w:themeColor="text1" w:themeTint="F2"/>
          </w:rPr>
          <m: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G</m:t>
            </m:r>
          </m:e>
          <m:sub>
            <m:r>
              <w:rPr>
                <w:rFonts w:ascii="Cambria Math" w:hAnsi="Cambria Math" w:cs="Times New Roman"/>
                <w:color w:val="0D0D0D" w:themeColor="text1" w:themeTint="F2"/>
              </w:rPr>
              <m:t>bind</m:t>
            </m:r>
          </m:sub>
        </m:sSub>
      </m:oMath>
      <w:r w:rsidR="00F12626" w:rsidRPr="007E5190">
        <w:rPr>
          <w:rFonts w:ascii="Times New Roman" w:hAnsi="Times New Roman" w:cs="Times New Roman"/>
          <w:color w:val="0D0D0D" w:themeColor="text1" w:themeTint="F2"/>
        </w:rPr>
        <w:t xml:space="preserve">)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{"citationID":"WjYh4Lky","properties":{"formattedCitation":"[22,23]","plainCitation":"[22,23]","noteIndex":0},"citationItems":[{"id":169,"uris":["http://zotero.org/users/local/GoHQ98fS/items/9QRQDNKZ"],"itemData":{"id":169,"type":"article-journal","container-title":"Expert Opinion on Drug Discovery","DOI":"10.1517/17460441.2015.1032936","ISSN":"1746-0441, 1746-045X","issue":"5","journalAbbreviation":"Expert Opinion on Drug Discovery","language":"en","page":"449-461","source":"DOI.org (Crossref)","title":"The MM/PBSA and MM/GBSA methods to estimate ligand-binding affinities","URL":"http://www.tandfonline.com/doi/full/10.1517/17460441.2015.1032936","volume":"10","author":[{"family":"Genheden","given":"Samuel"},{"family":"Ryde","given":"Ulf"}],"accessed":{"date-parts":[["2025",11,2]]},"issued":{"date-parts":[["2015",5,4]]}}},{"id":171,"uris":["http://zotero.org/users/local/GoHQ98fS/items/HLNA7MLT"],"itemData":{"id":171,"type":"article-journal","container-title":"Chemical Reviews","DOI":"10.1021/acs.chemrev.9b00055","ISSN":"0009-2665","issue":"16","journalAbbreviation":"Chem. Rev.","note":"publisher: American Chemical Society","page":"9478-9508","title":"End-Point Binding Free Energy Calculation with MM/PBSA and MM/GBSA: Strategies and Applications in Drug Design","URL":"https://doi.org/10.1021/acs.chemrev.9b00055","volume":"119","author":[{"family":"Wang","given":"Ercheng"},{"family":"Sun","given":"Huiyong"},{"family":"Wang","given":"Junmei"},{"family":"Wang","given":"Zhe"},{"family":"Liu","given":"Hui"},{"family":"Zhang","given":"John Z. H."},{"family":"Hou","given":"Tingjun"}],"issued":{"date-parts":[["2019",8,28]]}}}],"schema":"https://github.com/citation-style-language/schema/raw/master/csl-citation.json"}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[22,23]</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This step is crucial for re-scoring our hits and prioritizing candidates with the most favorable binding thermodynamics over those from docking alone.</w:t>
      </w:r>
    </w:p>
    <w:p w14:paraId="4900004F" w14:textId="3AAEDFBB"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Finally,</w:t>
      </w:r>
      <w:r w:rsidR="00AD181A" w:rsidRPr="007E5190">
        <w:rPr>
          <w:rFonts w:ascii="Times New Roman" w:hAnsi="Times New Roman" w:cs="Times New Roman"/>
          <w:color w:val="0D0D0D" w:themeColor="text1" w:themeTint="F2"/>
        </w:rPr>
        <w:t xml:space="preserve"> </w:t>
      </w:r>
      <w:r w:rsidR="00F1356B" w:rsidRPr="007E5190">
        <w:rPr>
          <w:rFonts w:ascii="Times New Roman" w:hAnsi="Times New Roman" w:cs="Times New Roman"/>
          <w:color w:val="0D0D0D" w:themeColor="text1" w:themeTint="F2"/>
        </w:rPr>
        <w:t xml:space="preserve">the </w:t>
      </w:r>
      <w:r w:rsidRPr="007E5190">
        <w:rPr>
          <w:rFonts w:ascii="Times New Roman" w:hAnsi="Times New Roman" w:cs="Times New Roman"/>
          <w:color w:val="0D0D0D" w:themeColor="text1" w:themeTint="F2"/>
        </w:rPr>
        <w:t>Density Functional Theory (DFT)</w:t>
      </w:r>
      <w:r w:rsidR="00F1356B" w:rsidRPr="007E5190">
        <w:rPr>
          <w:rFonts w:ascii="Times New Roman" w:hAnsi="Times New Roman" w:cs="Times New Roman"/>
          <w:color w:val="0D0D0D" w:themeColor="text1" w:themeTint="F2"/>
        </w:rPr>
        <w:t xml:space="preserve"> </w:t>
      </w:r>
      <w:r w:rsidR="00D43835" w:rsidRPr="007E5190">
        <w:rPr>
          <w:rFonts w:ascii="Times New Roman" w:hAnsi="Times New Roman" w:cs="Times New Roman"/>
          <w:color w:val="0D0D0D" w:themeColor="text1" w:themeTint="F2"/>
        </w:rPr>
        <w:t>was</w:t>
      </w:r>
      <w:r w:rsidR="00F1356B" w:rsidRPr="007E5190">
        <w:rPr>
          <w:rFonts w:ascii="Times New Roman" w:hAnsi="Times New Roman" w:cs="Times New Roman"/>
          <w:color w:val="0D0D0D" w:themeColor="text1" w:themeTint="F2"/>
        </w:rPr>
        <w:t xml:space="preserve"> employed</w:t>
      </w:r>
      <w:r w:rsidR="00AD181A" w:rsidRPr="007E5190">
        <w:rPr>
          <w:rFonts w:ascii="Times New Roman" w:hAnsi="Times New Roman" w:cs="Times New Roman"/>
          <w:color w:val="0D0D0D" w:themeColor="text1" w:themeTint="F2"/>
        </w:rPr>
        <w:t xml:space="preserve"> to understand the electronic-level properties that make our lead compounds effective</w:t>
      </w:r>
      <w:r w:rsidRPr="007E5190">
        <w:rPr>
          <w:rFonts w:ascii="Times New Roman" w:hAnsi="Times New Roman" w:cs="Times New Roman"/>
          <w:color w:val="0D0D0D" w:themeColor="text1" w:themeTint="F2"/>
        </w:rPr>
        <w:t>. This quantum mechanical approach</w:t>
      </w:r>
      <w:r w:rsidR="00AD181A" w:rsidRPr="007E5190">
        <w:rPr>
          <w:rFonts w:ascii="Times New Roman" w:hAnsi="Times New Roman" w:cs="Times New Roman"/>
          <w:color w:val="0D0D0D" w:themeColor="text1" w:themeTint="F2"/>
        </w:rPr>
        <w:t xml:space="preserve"> was used</w:t>
      </w:r>
      <w:r w:rsidRPr="007E5190">
        <w:rPr>
          <w:rFonts w:ascii="Times New Roman" w:hAnsi="Times New Roman" w:cs="Times New Roman"/>
          <w:color w:val="0D0D0D" w:themeColor="text1" w:themeTint="F2"/>
        </w:rPr>
        <w:t xml:space="preserve"> to analyze the "frontier molecular orbitals" (FMOs), specifically the Highest Occupied Molecular Orbital (HOMO) and the Lowest Occupied Molecular Orbital (LUMO)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4mRvg2tW","properties":{"formattedCitation":"[24]","plainCitation":"[24]","noteIndex":0},"citationItems":[{"id":173,"uris":["http://zotero.org/users/local/GoHQ98fS/items/H74Y79W4"],"itemData":{"id":173,"type":"article-journal","container-title":"Science","DOI":"10.1126/science.218.4574.747","ISSN":"0036-8075, 1095-9203","issue":"4574","journalAbbreviation":"Science","language":"en","page":"747-754","source":"DOI.org (Crossref)","title":"Role of Frontier Orbitals in Chemical Reactions","URL":"https://www.science.org/doi/10.1126/science.218.4574.747","volume":"218","author":[{"family":"Fukui","given":"Kenichi"}],"accessed":{"date-parts":[["2025",11,2]]},"issued":{"date-parts":[["1982",11,19]]}}}],"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[24]</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The</w:t>
      </w:r>
      <w:r w:rsidR="00AD181A" w:rsidRPr="007E5190">
        <w:rPr>
          <w:rFonts w:ascii="Times New Roman" w:hAnsi="Times New Roman" w:cs="Times New Roman"/>
          <w:color w:val="0D0D0D" w:themeColor="text1" w:themeTint="F2"/>
        </w:rPr>
        <w:t xml:space="preserve"> resulting</w:t>
      </w:r>
      <w:r w:rsidRPr="007E5190">
        <w:rPr>
          <w:rFonts w:ascii="Times New Roman" w:hAnsi="Times New Roman" w:cs="Times New Roman"/>
          <w:color w:val="0D0D0D" w:themeColor="text1" w:themeTint="F2"/>
        </w:rPr>
        <w:t xml:space="preserve"> energy gap (</w:t>
      </w:r>
      <m:oMath>
        <m:r>
          <m:rPr>
            <m:sty m:val="p"/>
          </m:rPr>
          <w:rPr>
            <w:rFonts w:ascii="Cambria Math" w:hAnsi="Cambria Math" w:cs="Times New Roman"/>
            <w:color w:val="0D0D0D" w:themeColor="text1" w:themeTint="F2"/>
          </w:rPr>
          <m:t>Δ</m:t>
        </m:r>
        <m:r>
          <w:rPr>
            <w:rFonts w:ascii="Cambria Math" w:hAnsi="Cambria Math" w:cs="Times New Roman"/>
            <w:color w:val="0D0D0D" w:themeColor="text1" w:themeTint="F2"/>
          </w:rPr>
          <m:t>E</m:t>
        </m:r>
      </m:oMath>
      <w:r w:rsidRPr="007E5190">
        <w:rPr>
          <w:rFonts w:ascii="Times New Roman" w:hAnsi="Times New Roman" w:cs="Times New Roman"/>
          <w:color w:val="0D0D0D" w:themeColor="text1" w:themeTint="F2"/>
        </w:rPr>
        <w:t xml:space="preserve">) between these orbitals is a key descriptor of chemical reactivity and molecular stability. </w:t>
      </w:r>
      <w:r w:rsidR="00AD181A" w:rsidRPr="007E5190">
        <w:rPr>
          <w:rFonts w:ascii="Times New Roman" w:hAnsi="Times New Roman" w:cs="Times New Roman"/>
          <w:color w:val="0D0D0D" w:themeColor="text1" w:themeTint="F2"/>
        </w:rPr>
        <w:t>G</w:t>
      </w:r>
      <w:r w:rsidRPr="007E5190">
        <w:rPr>
          <w:rFonts w:ascii="Times New Roman" w:hAnsi="Times New Roman" w:cs="Times New Roman"/>
          <w:color w:val="0D0D0D" w:themeColor="text1" w:themeTint="F2"/>
        </w:rPr>
        <w:t>enerally</w:t>
      </w:r>
      <w:r w:rsidR="00AD181A" w:rsidRPr="007E5190">
        <w:rPr>
          <w:rFonts w:ascii="Times New Roman" w:hAnsi="Times New Roman" w:cs="Times New Roman"/>
          <w:color w:val="0D0D0D" w:themeColor="text1" w:themeTint="F2"/>
        </w:rPr>
        <w:t>, a smaller HOMO-LUMO gap</w:t>
      </w:r>
      <w:r w:rsidRPr="007E5190">
        <w:rPr>
          <w:rFonts w:ascii="Times New Roman" w:hAnsi="Times New Roman" w:cs="Times New Roman"/>
          <w:color w:val="0D0D0D" w:themeColor="text1" w:themeTint="F2"/>
        </w:rPr>
        <w:t xml:space="preserve"> signifies a "softer," more reactive molecule that is a better electron donor, a favorable characteristic for a drug candidate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{"citationID":"ZmQNNSQt","properties":{"formattedCitation":"[25]","plainCitation":"[25]","noteIndex":0},"citationItems":[{"id":178,"uris":["http://zotero.org/users/local/GoHQ98fS/items/BSSJB8LK"],"itemData":{"id":178,"type":"article-journal","container-title":"Inorganic Chemistry","DOI":"10.1021/ic00277a030","ISSN":"0020-1669, 1520-510X","issue":"4","journalAbbreviation":"Inorg. Chem.","language":"en","page":"734-740","source":"DOI.org (Crossref)","title":"Absolute electronegativity and hardness: application to inorganic chemistry","title-short":"Absolute electronegativity and hardness","URL":"https://pubs.acs.org/doi/abs/10.1021/ic00277a030","volume":"27","author":[{"family":"Pearson","given":"Ralph G."}],"accessed":{"date-parts":[["2025",11,2]]},"issued":{"date-parts":[["1988",2]]}}}],"schema":"https://github.com/citation-style-language/schema/raw/master/csl-citation.json"}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[25]</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w:t>
      </w:r>
      <w:r w:rsidR="00D336B2"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This comprehensive workflow</w:t>
      </w:r>
      <w:r w:rsidR="00C663E9"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from rapid screening to rigorous biophysical and quantum mechanical validation</w:t>
      </w:r>
      <w:r w:rsidR="00C663E9"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provides a strong foundation for identifying high-affinity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xml:space="preserve"> inhibitors worthy of future experimental validation.</w:t>
      </w:r>
    </w:p>
    <w:p w14:paraId="70449844" w14:textId="77777777" w:rsidR="00F12626" w:rsidRPr="007E5190" w:rsidRDefault="00F12626" w:rsidP="00DD06FA">
      <w:pPr>
        <w:pStyle w:val="Heading1"/>
        <w:rPr>
          <w:rFonts w:cs="Times New Roman"/>
        </w:rPr>
      </w:pPr>
      <w:r w:rsidRPr="007E5190">
        <w:rPr>
          <w:rFonts w:cs="Times New Roman"/>
        </w:rPr>
        <w:t>Materials and Methodology</w:t>
      </w:r>
    </w:p>
    <w:p w14:paraId="12925354" w14:textId="77777777" w:rsidR="00F12626" w:rsidRPr="007E5190" w:rsidRDefault="00F12626" w:rsidP="00DD06FA">
      <w:pPr>
        <w:pStyle w:val="Heading2"/>
        <w:rPr>
          <w:rFonts w:cs="Times New Roman"/>
          <w:i w:val="0"/>
        </w:rPr>
      </w:pPr>
      <w:r w:rsidRPr="007E5190">
        <w:rPr>
          <w:rFonts w:cs="Times New Roman"/>
        </w:rPr>
        <w:t>Computational Software and Environment</w:t>
      </w:r>
    </w:p>
    <w:p w14:paraId="12938347" w14:textId="588A2195" w:rsidR="00F12626" w:rsidRPr="007E5190" w:rsidRDefault="00D43835"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computational work was divided between two environments. Initial tasks, such as molecular docking and system preparation, were performed locally on a machine with a 12th Gen Intel(R) </w:t>
      </w:r>
      <w:proofErr w:type="gramStart"/>
      <w:r w:rsidRPr="007E5190">
        <w:rPr>
          <w:rFonts w:ascii="Times New Roman" w:hAnsi="Times New Roman" w:cs="Times New Roman"/>
          <w:color w:val="0D0D0D" w:themeColor="text1" w:themeTint="F2"/>
        </w:rPr>
        <w:t>Core(</w:t>
      </w:r>
      <w:proofErr w:type="gramEnd"/>
      <w:r w:rsidRPr="007E5190">
        <w:rPr>
          <w:rFonts w:ascii="Times New Roman" w:hAnsi="Times New Roman" w:cs="Times New Roman"/>
          <w:color w:val="0D0D0D" w:themeColor="text1" w:themeTint="F2"/>
        </w:rPr>
        <w:t xml:space="preserve">TM) i5-12500H 2.50 GHz processor and 16.0 GB RAM (running Ubuntu 24.04.2 via WSL). For the more demanding tasks, including all molecular dynamics simulations and DFT analyses, we utilized the cloud-based NVIDIA GPUs (T4, L4, and A100) available on Google Colab. </w:t>
      </w:r>
      <w:r w:rsidR="00F12626" w:rsidRPr="007E5190">
        <w:rPr>
          <w:rFonts w:ascii="Times New Roman" w:hAnsi="Times New Roman" w:cs="Times New Roman"/>
          <w:color w:val="0D0D0D" w:themeColor="text1" w:themeTint="F2"/>
        </w:rPr>
        <w:t xml:space="preserve">The primary software packages and web servers employed for this study included: </w:t>
      </w:r>
      <w:proofErr w:type="spellStart"/>
      <w:r w:rsidR="00F12626" w:rsidRPr="007E5190">
        <w:rPr>
          <w:rFonts w:ascii="Times New Roman" w:hAnsi="Times New Roman" w:cs="Times New Roman"/>
          <w:color w:val="0D0D0D" w:themeColor="text1" w:themeTint="F2"/>
        </w:rPr>
        <w:t>AutoDock</w:t>
      </w:r>
      <w:proofErr w:type="spellEnd"/>
      <w:r w:rsidR="00F12626" w:rsidRPr="007E5190">
        <w:rPr>
          <w:rFonts w:ascii="Times New Roman" w:hAnsi="Times New Roman" w:cs="Times New Roman"/>
          <w:color w:val="0D0D0D" w:themeColor="text1" w:themeTint="F2"/>
        </w:rPr>
        <w:t xml:space="preserve"> 4 (v4.2.6)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{"citationID":"Nm7bO9xJ","properties":{"formattedCitation":"[26]","plainCitation":"[26]","noteIndex":0},"citationItems":[{"id":22,"uris":["http://zotero.org/users/local/GoHQ98fS/items/RTVNBJWJ"],"itemData":{"id":22,"type":"article-journal","abstract":"Abstract\n            We describe the testing and release of AutoDock4 and the accompanying graphical user interface AutoDockTools. AutoDock4 incorporates limited flexibility in the receptor. Several tests are reported here, including a redocking experiment with 188 diverse ligand‐protein complexes and a cross‐docking experiment using flexible sidechains in 87 HIV protease complexes. We also report its utility in analysis of covalently bound ligands, using both a grid‐based docking method and a modification of the flexible sidechain technique. © 2009 Wiley Periodicals, Inc. J Comput Chem, 2009","container-title":"Journal of Computational Chemistry","DOI":"10.1002/jcc.21256","ISSN":"0192-8651, 1096-987X","issue":"16","journalAbbreviation":"J Comput Chem","language":"en","license":"http://onlinelibrary.wiley.com/termsAndConditions#vor","page":"2785-2791","source":"DOI.org (Crossref)","title":"AutoDock4 and AutoDockTools4: Automated docking with selective receptor flexibility","title-short":"AutoDock4 and AutoDockTools4","URL":"https://onlinelibrary.wiley.com/doi/10.1002/jcc.21256","volume":"30","author":[{"family":"Morris","given":"Garrett M."},{"family":"Huey","given":"Ruth"},{"family":"Lindstrom","given":"William"},{"family":"Sanner","given":"Michel F."},{"family":"Belew","given":"Richard K."},{"family":"Goodsell","given":"David S."},{"family":"Olson","given":"Arthur J."}],"accessed":{"date-parts":[["2025",9,9]]},"issued":{"date-parts":[["2009",12]]}}}],"schema":"https://github.com/citation-style-language/schema/raw/master/csl-citation.json"}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[26]</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utilized for the initial binding site identification and high-precision focused docking of the seven lead compounds, employing the Lamarckian Genetic Algorithm (LGA); </w:t>
      </w:r>
      <w:proofErr w:type="spellStart"/>
      <w:r w:rsidR="00F12626" w:rsidRPr="007E5190">
        <w:rPr>
          <w:rFonts w:ascii="Times New Roman" w:hAnsi="Times New Roman" w:cs="Times New Roman"/>
          <w:color w:val="0D0D0D" w:themeColor="text1" w:themeTint="F2"/>
        </w:rPr>
        <w:t>AutoDock</w:t>
      </w:r>
      <w:proofErr w:type="spellEnd"/>
      <w:r w:rsidR="00F12626" w:rsidRPr="007E5190">
        <w:rPr>
          <w:rFonts w:ascii="Times New Roman" w:hAnsi="Times New Roman" w:cs="Times New Roman"/>
          <w:color w:val="0D0D0D" w:themeColor="text1" w:themeTint="F2"/>
        </w:rPr>
        <w:t xml:space="preserve"> Vina (v1.2.3)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{"citationID":"LP7quc3T","properties":{"formattedCitation":"[27]","plainCitation":"[27]","noteIndex":0},"citationItems":[{"id":38,"uris":["http://zotero.org/users/local/GoHQ98fS/items/7EIC24KZ"],"itemData":{"id":38,"type":"article-journal","abstract":"Abstract\n            AutoDock Vina, a new program for molecular docking and virtual screening, is presented. AutoDock Vina achieves an approximately two orders of magnitude speed‐up compared with the molecular docking software previously developed in our lab (AutoDock 4), while also significantly improving the accuracy of the binding mode predictions, judging by our tests on the training set used in AutoDock 4 development. Further speed‐up is achieved from parallelism, by using multithreading on multicore machines. AutoDock Vina automatically calculates the grid maps and clusters the results in a way transparent to the user. © 2009 Wiley Periodicals, Inc. J Comput Chem 2010","container-title":"Journal of Computational Chemistry","DOI":"10.1002/jcc.21334","ISSN":"0192-8651, 1096-987X","issue":"2","journalAbbreviation":"J Comput Chem","language":"en","license":"http://onlinelibrary.wiley.com/termsAndConditions#vor","page":"455-461","source":"DOI.org (Crossref)","title":"AutoDock Vina: Improving the speed and accuracy of docking with a new scoring function, efficient optimization, and multithreading","title-short":"AutoDock Vina","URL":"https://onlinelibrary.wiley.com/doi/10.1002/jcc.21334","volume":"31","author":[{"family":"Trott","given":"Oleg"},{"family":"Olson","given":"Arthur J."}],"accessed":{"date-parts":[["2025",9,9]]},"issued":{"date-parts":[["2010",1,30]]}}}],"schema":"https://github.com/citation-style-language/schema/raw/master/csl-citation.json"}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[27]</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utilized for the high-throughput virtual screening (HTVS) of the analog library; </w:t>
      </w:r>
      <w:proofErr w:type="spellStart"/>
      <w:r w:rsidR="00F12626" w:rsidRPr="007E5190">
        <w:rPr>
          <w:rFonts w:ascii="Times New Roman" w:hAnsi="Times New Roman" w:cs="Times New Roman"/>
          <w:color w:val="0D0D0D" w:themeColor="text1" w:themeTint="F2"/>
        </w:rPr>
        <w:t>AutoDockTools</w:t>
      </w:r>
      <w:proofErr w:type="spellEnd"/>
      <w:r w:rsidR="00F12626" w:rsidRPr="007E5190">
        <w:rPr>
          <w:rFonts w:ascii="Times New Roman" w:hAnsi="Times New Roman" w:cs="Times New Roman"/>
          <w:color w:val="0D0D0D" w:themeColor="text1" w:themeTint="F2"/>
        </w:rPr>
        <w:t xml:space="preserve"> (ADT) (v1.5.7)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{"citationID":"WE8hP2PF","properties":{"formattedCitation":"[26]","plainCitation":"[26]","noteIndex":0},"citationItems":[{"id":22,"uris":["http://zotero.org/users/local/GoHQ98fS/items/RTVNBJWJ"],"itemData":{"id":22,"type":"article-journal","abstract":"Abstract\n            We describe the testing and release of AutoDock4 and the accompanying graphical user interface AutoDockTools. AutoDock4 incorporates limited flexibility in the receptor. Several tests are reported here, including a redocking experiment with 188 diverse ligand‐protein complexes and a cross‐docking experiment using flexible sidechains in 87 HIV protease complexes. We also report its utility in analysis of covalently bound ligands, using both a grid‐based docking method and a modification of the flexible sidechain technique. © 2009 Wiley Periodicals, Inc. J Comput Chem, 2009","container-title":"Journal of Computational Chemistry","DOI":"10.1002/jcc.21256","ISSN":"0192-8651, 1096-987X","issue":"16","journalAbbreviation":"J Comput Chem","language":"en","license":"http://onlinelibrary.wiley.com/termsAndConditions#vor","page":"2785-2791","source":"DOI.org (Crossref)","title":"AutoDock4 and AutoDockTools4: Automated docking with selective receptor flexibility","title-short":"AutoDock4 and AutoDockTools4","URL":"https://onlinelibrary.wiley.com/doi/10.1002/jcc.21256","volume":"30","author":[{"family":"Morris","given":"Garrett M."},{"family":"Huey","given":"Ruth"},{"family":"Lindstrom","given":"William"},{"family":"Sanner","given":"Michel F."},{"family":"Belew","given":"Richard K."},{"family":"Goodsell","given":"David S."},{"family":"Olson","given":"Arthur J."}],"accessed":{"date-parts":[["2025",9,9]]},"issued":{"date-parts":[["2009",12]]}},"locator":"4"}],"schema":"https://github.com/citation-style-language/schema/raw/master/csl-citation.json"}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[26]</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used for receptor and ligand preparation (PDBQT file generation); Open Babel (v3.1.1)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{"citationID":"coybE4dm","properties":{"formattedCitation":"[28]","plainCitation":"[28]","noteIndex":0},"citationItems":[{"id":24,"uris":["http://zotero.org/users/local/GoHQ98fS/items/CSDTSIBK"],"itemData":{"id":24,"type":"article-journal","container-title":"Journal of Cheminformatics","DOI":"10.1186/1758-2946-3-33","ISSN":"1758-2946","issue":"1","journalAbbreviation":"J Cheminform","language":"en","page":"33","source":"DOI.org (Crossref)","title":"Open Babel: An open chemical toolbox","title-short":"Open Babel","URL":"https://jcheminf.biomedcentral.com/articles/10.1186/1758-2946-3-33","volume":"3","author":[{"family":"O'Boyle","given":"Noel M"},{"family":"Banck","given":"Michael"},{"family":"James","given":"Craig A"},{"family":"Morley","given":"Chris"},{"family":"Vandermeersch","given":"Tim"},{"family":"Hutchison","given":"Geoffrey R"}],"accessed":{"date-parts":[["2025",9,9]]},"issued":{"date-parts":[["2011",12]]}}}],"schema":"https://github.com/citation-style-language/schema/raw/master/csl-citation.json"}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[28]</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employed for file format conversion and ligand energy minimization; The </w:t>
      </w:r>
      <w:proofErr w:type="spellStart"/>
      <w:r w:rsidR="00F12626" w:rsidRPr="007E5190">
        <w:rPr>
          <w:rFonts w:ascii="Times New Roman" w:hAnsi="Times New Roman" w:cs="Times New Roman"/>
          <w:color w:val="0D0D0D" w:themeColor="text1" w:themeTint="F2"/>
        </w:rPr>
        <w:t>PyMOL</w:t>
      </w:r>
      <w:proofErr w:type="spellEnd"/>
      <w:r w:rsidR="00F12626" w:rsidRPr="007E5190">
        <w:rPr>
          <w:rFonts w:ascii="Times New Roman" w:hAnsi="Times New Roman" w:cs="Times New Roman"/>
          <w:color w:val="0D0D0D" w:themeColor="text1" w:themeTint="F2"/>
        </w:rPr>
        <w:t xml:space="preserve"> Molecular Graphics System (v2.5)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{"citationID":"XvGGrSQJ","properties":{"formattedCitation":"[29]","plainCitation":"[29]","noteIndex":0},"citationItems":[{"id":187,"uris":["http://zotero.org/users/local/GoHQ98fS/items/9PGEZM3A"],"itemData":{"id":187,"type":"software","event-place":"New York, NY","publisher":"Schrödinger, LLC","publisher-place":"New York, NY","title":"The PyMOL Molecular Graphics System","URL":"http://www.pymol.org","version":"2.5","author":[{"literal":"Schrödinger, LLC"}],"issued":{"date-parts":[["2021"]]}}}],"schema":"https://github.com/citation-style-language/schema/raw/master/csl-citation.json"}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[29]</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used for 3D structural visualization; the PLIP (Protein-Ligand Interaction Profiler) web server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{"citationID":"Hw3xiWSz","properties":{"formattedCitation":"[30]","plainCitation":"[30]","noteIndex":0},"citationItems":[{"id":188,"uris":["http://zotero.org/users/local/GoHQ98fS/items/UDYCRL6M"],"itemData":{"id":188,"type":"article-journal","abstract":"Abstract\n            With the growth of protein structure data, the analysis of molecular interactions between ligands and their target molecules is gaining importance. PLIP, the protein–ligand interaction profiler, detects and visualises these interactions and provides data in formats suitable for further processing. PLIP has proven very successful in applications ranging from the characterisation of docking experiments to the assessment of novel ligand–protein complexes. Besides ligand–protein interactions, interactions with DNA and RNA play a vital role in many applications, such as drugs targeting DNA or RNA-binding proteins. To date, over 7% of all 3D structures in the Protein Data Bank include DNA or RNA. Therefore, we extended PLIP to encompass these important molecules. We demonstrate the power of this extension with examples of a cancer drug binding to a DNA target, and an RNA–protein complex central to a neurological disease. PLIP is available online at https://plip-tool.biotec.tu-dresden.de and as open source code. So far, the engine has served over a million queries and the source code has been downloaded several thousand times.","container-title":"Nucleic Acids Research","DOI":"10.1093/nar/gkab294","ISSN":"0305-1048, 1362-4962","issue":"W1","language":"en","license":"http://creativecommons.org/licenses/by/4.0/","page":"W530-W534","source":"DOI.org (Crossref)","title":"PLIP 2021: expanding the scope of the protein–ligand interaction profiler to DNA and RNA","title-short":"PLIP 2021","URL":"https://academic.oup.com/nar/article/49/W1/W530/6266421","volume":"49","author":[{"family":"Adasme","given":"Melissa F"},{"family":"Linnemann","given":"Katja L"},{"family":"Bolz","given":"Sarah Naomi"},{"family":"Kaiser","given":"Florian"},{"family":"Salentin","given":"Sebastian"},{"family":"Haupt","given":"V Joachim"},{"family":"Schroeder","given":"Michael"}],"accessed":{"date-parts":[["2025",11,2]]},"issued":{"date-parts":[["2021",7,2]]}}}],"schema":"https://github.com/citation-style-language/schema/raw/master/csl-citation.json"}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[30]</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used for 2D interaction diagram generation; and the </w:t>
      </w:r>
      <w:proofErr w:type="spellStart"/>
      <w:r w:rsidR="00F12626" w:rsidRPr="007E5190">
        <w:rPr>
          <w:rFonts w:ascii="Times New Roman" w:hAnsi="Times New Roman" w:cs="Times New Roman"/>
          <w:color w:val="0D0D0D" w:themeColor="text1" w:themeTint="F2"/>
        </w:rPr>
        <w:t>SwissADME</w:t>
      </w:r>
      <w:proofErr w:type="spellEnd"/>
      <w:r w:rsidR="00F12626" w:rsidRPr="007E5190">
        <w:rPr>
          <w:rFonts w:ascii="Times New Roman" w:hAnsi="Times New Roman" w:cs="Times New Roman"/>
          <w:color w:val="0D0D0D" w:themeColor="text1" w:themeTint="F2"/>
        </w:rPr>
        <w:t xml:space="preserve"> web server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{"citationID":"54PfZGzZ","properties":{"formattedCitation":"[31]","plainCitation":"[31]","noteIndex":0},"citationItems":[{"id":10,"uris":["http://zotero.org/users/local/GoHQ98fS/items/PAB68BK8"],"itemData":{"id":10,"type":"article-journal","abstract":"Abstract\n            \n              To be effective as a drug, a potent molecule must reach its target in the body in sufficient concentration, and stay there in a bioactive form long enough for the expected biologic events to occur. Drug development involves assessment of absorption, distribution, metabolism and excretion (ADME) increasingly earlier in the discovery process, at a stage when considered compounds are numerous but access to the physical samples is limited. In that context, computer models constitute valid alternatives to experiments. Here, we present the new SwissADME web tool that gives free access to a pool of fast yet robust predictive models for physicochemical properties, pharmacokinetics, drug-likeness and medicinal chemistry friendliness, among which in-house proficient methods such as the BOILED-Egg, iLOGP and Bioavailability Radar. Easy efficient input and interpretation are ensured thanks to a user-friendly interface through the login-free website\n              http://www.swissadme.ch\n              . Specialists, but also nonexpert in cheminformatics or computational chemistry can predict rapidly key parameters for a collection of molecules to support their drug discovery endeavours.","container-title":"Scientific Reports","DOI":"10.1038/srep42717","ISSN":"2045-2322","issue":"1","journalAbbreviation":"Sci Rep","language":"en","page":"42717","source":"DOI.org (Crossref)","title":"SwissADME: a free web tool to evaluate pharmacokinetics, drug-likeness and medicinal chemistry friendliness of small molecules","title-short":"SwissADME","URL":"https://www.nature.com/articles/srep42717","volume":"7","author":[{"family":"Daina","given":"Antoine"},{"family":"Michielin","given":"Olivier"},{"family":"Zoete","given":"Vincent"}],"accessed":{"date-parts":[["2025",9,9]]},"issued":{"date-parts":[["2017",3,3]]}}}],"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[31]</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used for in silico pharmacokinetic profiling.</w:t>
      </w:r>
    </w:p>
    <w:p w14:paraId="401FF264" w14:textId="77777777" w:rsidR="00F12626" w:rsidRPr="007E5190" w:rsidRDefault="00F12626" w:rsidP="00DD06FA">
      <w:pPr>
        <w:pStyle w:val="Heading2"/>
        <w:rPr>
          <w:rFonts w:cs="Times New Roman"/>
        </w:rPr>
      </w:pPr>
      <w:r w:rsidRPr="007E5190">
        <w:rPr>
          <w:rFonts w:cs="Times New Roman"/>
        </w:rPr>
        <w:t>Receptor and Ligand Library Preparation</w:t>
      </w:r>
    </w:p>
    <w:p w14:paraId="24A2B7A1" w14:textId="7A57A084" w:rsidR="00F12626" w:rsidRPr="007E5190" w:rsidRDefault="00D43835"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The starting point for our receptor was the 3D crystallographic structure of the Internalin H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N-terminal domain (PDB ID: 1H6U)</w:t>
      </w:r>
      <w:r w:rsidR="00D824E9" w:rsidRPr="007E5190">
        <w:rPr>
          <w:rFonts w:ascii="Times New Roman" w:hAnsi="Times New Roman" w:cs="Times New Roman"/>
          <w:color w:val="0D0D0D" w:themeColor="text1" w:themeTint="F2"/>
        </w:rPr>
        <w:t xml:space="preserve">  </w:t>
      </w:r>
      <w:r w:rsidR="00D824E9" w:rsidRPr="007E5190">
        <w:rPr>
          <w:rFonts w:ascii="Times New Roman" w:hAnsi="Times New Roman" w:cs="Times New Roman"/>
          <w:color w:val="4472C4" w:themeColor="accent1"/>
        </w:rPr>
        <w:t>(</w:t>
      </w:r>
      <w:r w:rsidR="00D824E9" w:rsidRPr="007E5190">
        <w:rPr>
          <w:rFonts w:ascii="Times New Roman" w:hAnsi="Times New Roman" w:cs="Times New Roman"/>
          <w:color w:val="4472C4" w:themeColor="accent1"/>
        </w:rPr>
        <w:fldChar w:fldCharType="begin"/>
      </w:r>
      <w:r w:rsidR="00D824E9" w:rsidRPr="007E5190">
        <w:rPr>
          <w:rFonts w:ascii="Times New Roman" w:hAnsi="Times New Roman" w:cs="Times New Roman"/>
          <w:color w:val="4472C4" w:themeColor="accent1"/>
        </w:rPr>
        <w:instrText xml:space="preserve"> REF _Ref213156435 \h </w:instrText>
      </w:r>
      <w:r w:rsidR="009603C8" w:rsidRPr="007E5190">
        <w:rPr>
          <w:rFonts w:ascii="Times New Roman" w:hAnsi="Times New Roman" w:cs="Times New Roman"/>
          <w:color w:val="4472C4" w:themeColor="accent1"/>
        </w:rPr>
        <w:instrText xml:space="preserve"> \* MERGEFORMAT </w:instrText>
      </w:r>
      <w:r w:rsidR="00D824E9" w:rsidRPr="007E5190">
        <w:rPr>
          <w:rFonts w:ascii="Times New Roman" w:hAnsi="Times New Roman" w:cs="Times New Roman"/>
          <w:color w:val="4472C4" w:themeColor="accent1"/>
        </w:rPr>
      </w:r>
      <w:r w:rsidR="00D824E9" w:rsidRPr="007E5190">
        <w:rPr>
          <w:rFonts w:ascii="Times New Roman" w:hAnsi="Times New Roman" w:cs="Times New Roman"/>
          <w:color w:val="4472C4" w:themeColor="accent1"/>
        </w:rPr>
        <w:fldChar w:fldCharType="separate"/>
      </w:r>
      <w:r w:rsidR="00D824E9" w:rsidRPr="007E5190">
        <w:rPr>
          <w:rFonts w:ascii="Times New Roman" w:hAnsi="Times New Roman" w:cs="Times New Roman"/>
          <w:color w:val="4472C4" w:themeColor="accent1"/>
          <w:szCs w:val="20"/>
        </w:rPr>
        <w:t xml:space="preserve">Figure </w:t>
      </w:r>
      <w:r w:rsidR="00D824E9" w:rsidRPr="007E5190">
        <w:rPr>
          <w:rFonts w:ascii="Times New Roman" w:hAnsi="Times New Roman" w:cs="Times New Roman"/>
          <w:noProof/>
          <w:color w:val="4472C4" w:themeColor="accent1"/>
          <w:szCs w:val="20"/>
        </w:rPr>
        <w:t>1</w:t>
      </w:r>
      <w:r w:rsidR="00D824E9" w:rsidRPr="007E5190">
        <w:rPr>
          <w:rFonts w:ascii="Times New Roman" w:hAnsi="Times New Roman" w:cs="Times New Roman"/>
          <w:color w:val="4472C4" w:themeColor="accent1"/>
        </w:rPr>
        <w:fldChar w:fldCharType="end"/>
      </w:r>
      <w:r w:rsidR="00D824E9"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 which was downloaded from the RCSB Protein Data Bank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{"citationID":"T72hOKnM","properties":{"formattedCitation":"[32]","plainCitation":"[32]","noteIndex":0},"citationItems":[{"id":191,"uris":["http://zotero.org/users/local/GoHQ98fS/items/WKJDVTDC"],"itemData":{"id":191,"type":"article-journal","container-title":"Nucleic Acids Research","DOI":"10.1093/nar/28.1.235","ISSN":"13624962","issue":"1","page":"235-242","source":"DOI.org (Crossref)","title":"The Protein Data Bank","URL":"https://academic.oup.com/nar/article-lookup/doi/10.1093/nar/28.1.235","volume":"28","author":[{"family":"Berman","given":"H. M."}],"accessed":{"date-parts":[["2025",11,2]]},"issued":{"date-parts":[["2000",1,1]]}}}],"schema":"https://github.com/citation-style-language/schema/raw/master/csl-citation.json"}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[32]</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Preparation of the raw PDB structure was performed with </w:t>
      </w:r>
      <w:proofErr w:type="spellStart"/>
      <w:r w:rsidRPr="007E5190">
        <w:rPr>
          <w:rFonts w:ascii="Times New Roman" w:hAnsi="Times New Roman" w:cs="Times New Roman"/>
          <w:color w:val="0D0D0D" w:themeColor="text1" w:themeTint="F2"/>
        </w:rPr>
        <w:t>AutoDockTools</w:t>
      </w:r>
      <w:proofErr w:type="spellEnd"/>
      <w:r w:rsidRPr="007E5190">
        <w:rPr>
          <w:rFonts w:ascii="Times New Roman" w:hAnsi="Times New Roman" w:cs="Times New Roman"/>
          <w:color w:val="0D0D0D" w:themeColor="text1" w:themeTint="F2"/>
        </w:rPr>
        <w:t xml:space="preserve"> (ADT) </w:t>
      </w:r>
      <w:r w:rsidR="00F12626" w:rsidRPr="007E5190">
        <w:rPr>
          <w:rFonts w:ascii="Times New Roman" w:hAnsi="Times New Roman" w:cs="Times New Roman"/>
          <w:color w:val="0D0D0D" w:themeColor="text1" w:themeTint="F2"/>
        </w:rPr>
        <w:lastRenderedPageBreak/>
        <w:fldChar w:fldCharType="begin"/>
      </w:r>
      <w:r w:rsidR="00F12626" w:rsidRPr="007E5190">
        <w:rPr>
          <w:rFonts w:ascii="Times New Roman" w:hAnsi="Times New Roman" w:cs="Times New Roman"/>
          <w:color w:val="0D0D0D" w:themeColor="text1" w:themeTint="F2"/>
        </w:rPr>
        <w:instrText xml:space="preserve"> ADDIN ZOTERO_ITEM CSL_CITATION {"citationID":"NLKmPgIx","properties":{"formattedCitation":"[26]","plainCitation":"[26]","noteIndex":0},"citationItems":[{"id":22,"uris":["http://zotero.org/users/local/GoHQ98fS/items/RTVNBJWJ"],"itemData":{"id":22,"type":"article-journal","abstract":"Abstract\n            We describe the testing and release of AutoDock4 and the accompanying graphical user interface AutoDockTools. AutoDock4 incorporates limited flexibility in the receptor. Several tests are reported here, including a redocking experiment with 188 diverse ligand‐protein complexes and a cross‐docking experiment using flexible sidechains in 87 HIV protease complexes. We also report its utility in analysis of covalently bound ligands, using both a grid‐based docking method and a modification of the flexible sidechain technique. © 2009 Wiley Periodicals, Inc. J Comput Chem, 2009","container-title":"Journal of Computational Chemistry","DOI":"10.1002/jcc.21256","ISSN":"0192-8651, 1096-987X","issue":"16","journalAbbreviation":"J Comput Chem","language":"en","license":"http://onlinelibrary.wiley.com/termsAndConditions#vor","page":"2785-2791","source":"DOI.org (Crossref)","title":"AutoDock4 and AutoDockTools4: Automated docking with selective receptor flexibility","title-short":"AutoDock4 and AutoDockTools4","URL":"https://onlinelibrary.wiley.com/doi/10.1002/jcc.21256","volume":"30","author":[{"family":"Morris","given":"Garrett M."},{"family":"Huey","given":"Ruth"},{"family":"Lindstrom","given":"William"},{"family":"Sanner","given":"Michel F."},{"family":"Belew","given":"Richard K."},{"family":"Goodsell","given":"David S."},{"family":"Olson","given":"Arthur J."}],"accessed":{"date-parts":[["2025",9,9]]},"issued":{"date-parts":[["2009",12]]}}}],"schema":"https://github.com/citation-style-language/schema/raw/master/csl-citation.json"}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[26]</w:t>
      </w:r>
      <w:r w:rsidR="00F12626" w:rsidRPr="007E5190">
        <w:rPr>
          <w:rFonts w:ascii="Times New Roman" w:hAnsi="Times New Roman" w:cs="Times New Roman"/>
          <w:color w:val="0D0D0D" w:themeColor="text1" w:themeTint="F2"/>
        </w:rPr>
        <w:fldChar w:fldCharType="end"/>
      </w:r>
      <w:r w:rsidR="0023186D" w:rsidRPr="007E5190">
        <w:rPr>
          <w:rFonts w:ascii="Times New Roman" w:hAnsi="Times New Roman" w:cs="Times New Roman"/>
          <w:color w:val="0D0D0D" w:themeColor="text1" w:themeTint="F2"/>
        </w:rPr>
        <w:t>.</w:t>
      </w:r>
      <w:r w:rsidR="00F1262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This process included removing all non-receptor atoms (e.g., HOH), adding polar hydrogens, and assigning Kollman united-atom partial charges to the protein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{"citationID":"s81eQ3t0","properties":{"formattedCitation":"[33]","plainCitation":"[33]","noteIndex":0},"citationItems":[{"id":192,"uris":["http://zotero.org/users/local/GoHQ98fS/items/KNJAU3MR"],"itemData":{"id":192,"type":"article-journal","abstract":"Abstract\n            \n              We present an approach for deriving net atomic charges from\n              ab initio\n              quantum mechanical calculations using a least squares fit of the quantum mechanically calculated electrostatic potential to that of the partial charge model. Our computational approach is similar to those presented by Momany [\n              J. Phys. Chem.\n              ,\n              82\n              , 592 (1978)], Smit, Derissen, and van Duijneveldt [\n              Mol. Phys.\n              ,\n              37\n              , 521 (1979)], and Cox and Williams [\n              J. Comput. Chem.\n              ,\n              2\n              , 304 (1981)], but differs in the approach to choosing the positions for evaluating the potential. In this article, we present applications to the molecules H\n              2\n              O, CH\n              3\n              OH, (CH\n              3\n              )\n              2\n              O, H\n              2\n              CO, NH\n              3\n              , (CH\n              3\n              O)\n              2\n              PO\n              \n              , deoxyribose, ribose, adenine, 9‐CH\n              3\n              adenine, thymine, 1‐CH\n              3\n              thymine, guanine, 9‐CH\n              3\n              guanine, cytosine, 1‐CH\n              3\n              cytosine, uracil, and 1‐CH\n              3\n              uracil. We also address the question of inclusion of “lone pairs,” their location and charge.","container-title":"Journal of Computational Chemistry","DOI":"10.1002/jcc.540050204","ISSN":"0192-8651, 1096-987X","issue":"2","journalAbbreviation":"J Comput Chem","language":"en","license":"http://onlinelibrary.wiley.com/termsAndConditions#vor","page":"129-145","source":"DOI.org (Crossref)","title":"An approach to computing electrostatic charges for molecules","URL":"https://onlinelibrary.wiley.com/doi/10.1002/jcc.540050204","volume":"5","author":[{"family":"Singh","given":"U. Chandra"},{"family":"Kollman","given":"Peter A."}],"accessed":{"date-parts":[["2025",11,2]]},"issued":{"date-parts":[["1984",4]]}}}],"schema":"https://github.com/citation-style-language/schema/raw/master/csl-citation.json"}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[33]</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The final receptor was saved in the PDBQT format. An initial set of seven lead compounds was selected based on prior reports of biological activity. For the HTVS, a large analog library of 7,000 structurally similar compounds was retrieved from PubChem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{"citationID":"TekWSYul","properties":{"formattedCitation":"[34]","plainCitation":"[34]","noteIndex":0},"citationItems":[{"id":193,"uris":["http://zotero.org/users/local/GoHQ98fS/items/WC54VN9C"],"itemData":{"id":193,"type":"article-journal","abstract":"Abstract\n            PubChem (https://pubchem.ncbi.nlm.nih.gov) is a popular chemical information resource that serves a wide range of use cases. In the past two years, a number of changes were made to PubChem. Data from more than 120 data sources was added to PubChem. Some major highlights include: the integration of Google Patents data into PubChem, which greatly expanded the coverage of the PubChem Patent data collection; the creation of the Cell Line and Taxonomy data collections, which provide quick and easy access to chemical information for a given cell line and taxon, respectively; and the update of the bioassay data model. In addition, new functionalities were added to the PubChem programmatic access protocols, PUG-REST and PUG-View, including support for target-centric data download for a given protein, gene, pathway, cell line, and taxon and the addition of the ‘standardize’ option to PUG-REST, which returns the standardized form of an input chemical structure. A significant update was also made to PubChemRDF. The present paper provides an overview of these changes.","container-title":"Nucleic Acids Research","DOI":"10.1093/nar/gkac956","ISSN":"0305-1048, 1362-4962","issue":"D1","language":"en","page":"D1373-D1380","source":"DOI.org (Crossref)","title":"PubChem 2023 update","URL":"https://academic.oup.com/nar/article/51/D1/D1373/6777787","volume":"51","author":[{"family":"Kim","given":"Sunghwan"},{"family":"Chen","given":"Jie"},{"family":"Cheng","given":"Tiejun"},{"family":"Gindulyte","given":"Asta"},{"family":"He","given":"Jia"},{"family":"He","given":"Siqian"},{"family":"Li","given":"Qingliang"},{"family":"Shoemaker","given":"Benjamin A"},{"family":"Thiessen","given":"Paul A"},{"family":"Yu","given":"Bo"},{"family":"Zaslavsky","given":"Leonid"},{"family":"Zhang","given":"Jian"},{"family":"Bolton","given":"Evan E"}],"accessed":{"date-parts":[["2025",11,2]]},"issued":{"date-parts":[["2023",1,6]]}}}],"schema":"https://github.com/citation-style-language/schema/raw/master/csl-citation.json"}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[34]</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w:t>
      </w:r>
      <w:r w:rsidR="0023186D" w:rsidRPr="007E5190">
        <w:rPr>
          <w:rFonts w:ascii="Times New Roman" w:hAnsi="Times New Roman" w:cs="Times New Roman"/>
          <w:color w:val="0D0D0D" w:themeColor="text1" w:themeTint="F2"/>
        </w:rPr>
        <w:t xml:space="preserve"> To create a final, qualified library, this set was pre-filtered for compliance with Lipinski's Rule of Five</w:t>
      </w:r>
      <w:r w:rsidR="00F12626" w:rsidRPr="007E5190">
        <w:rPr>
          <w:rFonts w:ascii="Times New Roman" w:hAnsi="Times New Roman" w:cs="Times New Roman"/>
          <w:color w:val="0D0D0D" w:themeColor="text1" w:themeTint="F2"/>
        </w:rPr>
        <w:t xml:space="preserve">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{"citationID":"w21LnKCh","properties":{"formattedCitation":"[35]","plainCitation":"[35]","noteIndex":0},"citationItems":[{"id":194,"uris":["http://zotero.org/users/local/GoHQ98fS/items/AE324X8A"],"itemData":{"id":194,"type":"article-journal","container-title":"Advanced Drug Delivery Reviews","DOI":"10.1016/S0169-409X(96)00423-1","ISSN":"0169409X","issue":"1-3","journalAbbreviation":"Advanced Drug Delivery Reviews","language":"en","license":"https://www.elsevier.com/tdm/userlicense/1.0/","page":"3-25","source":"DOI.org (Crossref)","title":"Experimental and computational approaches to estimate solubility and permeability in drug discovery and development settings","URL":"https://linkinghub.elsevier.com/retrieve/pii/S0169409X96004231","volume":"23","author":[{"family":"Lipinski","given":"Christopher A."},{"family":"Lombardo","given":"Franco"},{"family":"Dominy","given":"Beryl W."},{"family":"Feeney","given":"Paul J."}],"accessed":{"date-parts":[["2025",11,2]]},"issued":{"date-parts":[["1997",1]]}}}],"schema":"https://github.com/citation-style-language/schema/raw/master/csl-citation.json"}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[35]</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w:t>
      </w:r>
      <w:r w:rsidR="0023186D" w:rsidRPr="007E5190">
        <w:rPr>
          <w:rFonts w:ascii="Times New Roman" w:hAnsi="Times New Roman" w:cs="Times New Roman"/>
          <w:color w:val="0D0D0D" w:themeColor="text1" w:themeTint="F2"/>
        </w:rPr>
        <w:t>which yielded</w:t>
      </w:r>
      <w:r w:rsidR="00F12626" w:rsidRPr="007E5190">
        <w:rPr>
          <w:rFonts w:ascii="Times New Roman" w:hAnsi="Times New Roman" w:cs="Times New Roman"/>
          <w:color w:val="0D0D0D" w:themeColor="text1" w:themeTint="F2"/>
        </w:rPr>
        <w:t xml:space="preserve"> 209 candidate compounds. </w:t>
      </w:r>
      <w:r w:rsidR="0023186D" w:rsidRPr="007E5190">
        <w:rPr>
          <w:rFonts w:ascii="Times New Roman" w:hAnsi="Times New Roman" w:cs="Times New Roman"/>
          <w:color w:val="0D0D0D" w:themeColor="text1" w:themeTint="F2"/>
        </w:rPr>
        <w:t xml:space="preserve">Finally, each of the 209 qualified ligands was prepared for docking. This involved energy minimization using Open Babel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{"citationID":"uehUKyN0","properties":{"formattedCitation":"[28]","plainCitation":"[28]","noteIndex":0},"citationItems":[{"id":24,"uris":["http://zotero.org/users/local/GoHQ98fS/items/CSDTSIBK"],"itemData":{"id":24,"type":"article-journal","container-title":"Journal of Cheminformatics","DOI":"10.1186/1758-2946-3-33","ISSN":"1758-2946","issue":"1","journalAbbreviation":"J Cheminform","language":"en","page":"33","source":"DOI.org (Crossref)","title":"Open Babel: An open chemical toolbox","title-short":"Open Babel","URL":"https://jcheminf.biomedcentral.com/articles/10.1186/1758-2946-3-33","volume":"3","author":[{"family":"O'Boyle","given":"Noel M"},{"family":"Banck","given":"Michael"},{"family":"James","given":"Craig A"},{"family":"Morley","given":"Chris"},{"family":"Vandermeersch","given":"Tim"},{"family":"Hutchison","given":"Geoffrey R"}],"accessed":{"date-parts":[["2025",9,9]]},"issued":{"date-parts":[["2011",12]]}}}],"schema":"https://github.com/citation-style-language/schema/raw/master/csl-citation.json"}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[28]</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w:t>
      </w:r>
      <w:r w:rsidR="0023186D" w:rsidRPr="007E5190">
        <w:rPr>
          <w:rFonts w:ascii="Times New Roman" w:hAnsi="Times New Roman" w:cs="Times New Roman"/>
          <w:color w:val="0D0D0D" w:themeColor="text1" w:themeTint="F2"/>
        </w:rPr>
        <w:t>with the</w:t>
      </w:r>
      <w:r w:rsidR="00F12626" w:rsidRPr="007E5190">
        <w:rPr>
          <w:rFonts w:ascii="Times New Roman" w:hAnsi="Times New Roman" w:cs="Times New Roman"/>
          <w:color w:val="0D0D0D" w:themeColor="text1" w:themeTint="F2"/>
        </w:rPr>
        <w:t xml:space="preserve"> MMFF94 force field</w:t>
      </w:r>
      <w:r w:rsidR="0023186D" w:rsidRPr="007E5190">
        <w:rPr>
          <w:rFonts w:ascii="Times New Roman" w:hAnsi="Times New Roman" w:cs="Times New Roman"/>
          <w:color w:val="0D0D0D" w:themeColor="text1" w:themeTint="F2"/>
        </w:rPr>
        <w:t xml:space="preserve"> energy minimization</w:t>
      </w:r>
      <w:r w:rsidR="00F12626" w:rsidRPr="007E5190">
        <w:rPr>
          <w:rFonts w:ascii="Times New Roman" w:hAnsi="Times New Roman" w:cs="Times New Roman"/>
          <w:color w:val="0D0D0D" w:themeColor="text1" w:themeTint="F2"/>
        </w:rPr>
        <w:t xml:space="preserve">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{"citationID":"AehhoprH","properties":{"formattedCitation":"[36]","plainCitation":"[36]","noteIndex":0},"citationItems":[{"id":196,"uris":["http://zotero.org/users/local/GoHQ98fS/items/9FZZ5PCZ"],"itemData":{"id":196,"type":"article-journal","container-title":"Journal of Computational Chemistry","DOI":"10.1002/(SICI)1096-987X(199604)17:5/6&lt;490::AID-JCC1&gt;3.0.CO;2-P","ISSN":"01928651","issue":"5-6","journalAbbreviation":"J. Comput. Chem.","language":"en","license":"http://doi.wiley.com/10.1002/tdm_license_1.1","page":"490-519","source":"DOI.org (Crossref)","title":"Merck molecular force field. I. Basis, form, scope, parameterization, and performance of MMFF94","URL":"https://onlinelibrary.wiley.com/doi/10.1002/(SICI)1096-987X(199604)17:5/6&lt;490::AID-JCC1&gt;3.0.CO;2-P","volume":"17","author":[{"family":"Halgren","given":"Thomas A."}],"accessed":{"date-parts":[["2025",11,2]]},"issued":{"date-parts":[["1996",4]]}}}],"schema":"https://github.com/citation-style-language/schema/raw/master/csl-citation.json"}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[36]</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and </w:t>
      </w:r>
      <w:r w:rsidR="0023186D" w:rsidRPr="007E5190">
        <w:rPr>
          <w:rFonts w:ascii="Times New Roman" w:hAnsi="Times New Roman" w:cs="Times New Roman"/>
          <w:color w:val="0D0D0D" w:themeColor="text1" w:themeTint="F2"/>
        </w:rPr>
        <w:t xml:space="preserve">processing through </w:t>
      </w:r>
      <w:r w:rsidR="00F12626" w:rsidRPr="007E5190">
        <w:rPr>
          <w:rFonts w:ascii="Times New Roman" w:hAnsi="Times New Roman" w:cs="Times New Roman"/>
          <w:color w:val="0D0D0D" w:themeColor="text1" w:themeTint="F2"/>
        </w:rPr>
        <w:t xml:space="preserve">ADT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{"citationID":"5pAG22K0","properties":{"formattedCitation":"[26]","plainCitation":"[26]","noteIndex":0},"citationItems":[{"id":22,"uris":["http://zotero.org/users/local/GoHQ98fS/items/RTVNBJWJ"],"itemData":{"id":22,"type":"article-journal","abstract":"Abstract\n            We describe the testing and release of AutoDock4 and the accompanying graphical user interface AutoDockTools. AutoDock4 incorporates limited flexibility in the receptor. Several tests are reported here, including a redocking experiment with 188 diverse ligand‐protein complexes and a cross‐docking experiment using flexible sidechains in 87 HIV protease complexes. We also report its utility in analysis of covalently bound ligands, using both a grid‐based docking method and a modification of the flexible sidechain technique. © 2009 Wiley Periodicals, Inc. J Comput Chem, 2009","container-title":"Journal of Computational Chemistry","DOI":"10.1002/jcc.21256","ISSN":"0192-8651, 1096-987X","issue":"16","journalAbbreviation":"J Comput Chem","language":"en","license":"http://onlinelibrary.wiley.com/termsAndConditions#vor","page":"2785-2791","source":"DOI.org (Crossref)","title":"AutoDock4 and AutoDockTools4: Automated docking with selective receptor flexibility","title-short":"AutoDock4 and AutoDockTools4","URL":"https://onlinelibrary.wiley.com/doi/10.1002/jcc.21256","volume":"30","author":[{"family":"Morris","given":"Garrett M."},{"family":"Huey","given":"Ruth"},{"family":"Lindstrom","given":"William"},{"family":"Sanner","given":"Michel F."},{"family":"Belew","given":"Richard K."},{"family":"Goodsell","given":"David S."},{"family":"Olson","given":"Arthur J."}],"accessed":{"date-parts":[["2025",9,9]]},"issued":{"date-parts":[["2009",12]]}}}],"schema":"https://github.com/citation-style-language/schema/raw/master/csl-citation.json"}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[26]</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w:t>
      </w:r>
      <w:r w:rsidR="0023186D" w:rsidRPr="007E5190">
        <w:rPr>
          <w:rFonts w:ascii="Times New Roman" w:hAnsi="Times New Roman" w:cs="Times New Roman"/>
          <w:color w:val="0D0D0D" w:themeColor="text1" w:themeTint="F2"/>
        </w:rPr>
        <w:t xml:space="preserve">to assign </w:t>
      </w:r>
      <w:r w:rsidR="00F12626" w:rsidRPr="007E5190">
        <w:rPr>
          <w:rFonts w:ascii="Times New Roman" w:hAnsi="Times New Roman" w:cs="Times New Roman"/>
          <w:color w:val="0D0D0D" w:themeColor="text1" w:themeTint="F2"/>
        </w:rPr>
        <w:t xml:space="preserve">Gasteiger partial charge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21rnWyX6","properties":{"formattedCitation":"[37]","plainCitation":"[37]","noteIndex":0},"citationItems":[{"id":197,"uris":["http://zotero.org/users/local/GoHQ98fS/items/6QHICCSE"],"itemData":{"id":197,"type":"article-journal","container-title":"Tetrahedron","DOI":"10.1016/0040-4020(80)80168-2","ISSN":"00404020","issue":"22","journalAbbreviation":"Tetrahedron","language":"en","license":"https://www.elsevier.com/tdm/userlicense/1.0/","page":"3219-3228","source":"DOI.org (Crossref)","title":"Iterative partial equalization of orbital electronegativity—a rapid access to atomic charges","URL":"https://linkinghub.elsevier.com/retrieve/pii/0040402080801682","volume":"36","author":[{"family":"Gasteiger","given":"Johann"},{"family":"Marsili","given":"Mario"}],"accessed":{"date-parts":[["2025",11,2]]},"issued":{"date-parts":[["1980",1]]}}}],"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[37]</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w:t>
      </w:r>
      <w:r w:rsidR="0023186D" w:rsidRPr="007E5190">
        <w:rPr>
          <w:rFonts w:ascii="Times New Roman" w:hAnsi="Times New Roman" w:cs="Times New Roman"/>
          <w:color w:val="0D0D0D" w:themeColor="text1" w:themeTint="F2"/>
        </w:rPr>
        <w:t xml:space="preserve">and </w:t>
      </w:r>
      <w:r w:rsidR="007C2F1B" w:rsidRPr="007E5190">
        <w:rPr>
          <w:rFonts w:ascii="Times New Roman" w:hAnsi="Times New Roman" w:cs="Times New Roman"/>
          <w:color w:val="0D0D0D" w:themeColor="text1" w:themeTint="F2"/>
        </w:rPr>
        <w:t xml:space="preserve">define rotatable </w:t>
      </w:r>
      <w:r w:rsidR="00F12626" w:rsidRPr="007E5190">
        <w:rPr>
          <w:rFonts w:ascii="Times New Roman" w:hAnsi="Times New Roman" w:cs="Times New Roman"/>
          <w:color w:val="0D0D0D" w:themeColor="text1" w:themeTint="F2"/>
        </w:rPr>
        <w:t>bond</w:t>
      </w:r>
      <w:r w:rsidR="007C2F1B" w:rsidRPr="007E5190">
        <w:rPr>
          <w:rFonts w:ascii="Times New Roman" w:hAnsi="Times New Roman" w:cs="Times New Roman"/>
          <w:color w:val="0D0D0D" w:themeColor="text1" w:themeTint="F2"/>
        </w:rPr>
        <w:t xml:space="preserve">s. </w:t>
      </w:r>
      <w:r w:rsidR="00C46E2F" w:rsidRPr="007E5190">
        <w:rPr>
          <w:rFonts w:ascii="Times New Roman" w:hAnsi="Times New Roman" w:cs="Times New Roman"/>
          <w:color w:val="0D0D0D" w:themeColor="text1" w:themeTint="F2"/>
        </w:rPr>
        <w:t>These resulting structures</w:t>
      </w:r>
      <w:r w:rsidR="007C2F1B" w:rsidRPr="007E5190">
        <w:rPr>
          <w:rFonts w:ascii="Times New Roman" w:hAnsi="Times New Roman" w:cs="Times New Roman"/>
          <w:color w:val="0D0D0D" w:themeColor="text1" w:themeTint="F2"/>
        </w:rPr>
        <w:t xml:space="preserve"> were then </w:t>
      </w:r>
      <w:r w:rsidR="00F12626" w:rsidRPr="007E5190">
        <w:rPr>
          <w:rFonts w:ascii="Times New Roman" w:hAnsi="Times New Roman" w:cs="Times New Roman"/>
          <w:color w:val="0D0D0D" w:themeColor="text1" w:themeTint="F2"/>
        </w:rPr>
        <w:t>saved in the PDBQT format.</w:t>
      </w:r>
    </w:p>
    <w:p w14:paraId="116B520A" w14:textId="77777777" w:rsidR="00F12626" w:rsidRPr="007E5190" w:rsidRDefault="00F12626" w:rsidP="00DD06FA">
      <w:pPr>
        <w:pStyle w:val="Heading2"/>
        <w:rPr>
          <w:rFonts w:cs="Times New Roman"/>
        </w:rPr>
      </w:pPr>
      <w:r w:rsidRPr="007E5190">
        <w:rPr>
          <w:rFonts w:cs="Times New Roman"/>
        </w:rPr>
        <w:t>Molecular Docking Protocol</w:t>
      </w:r>
    </w:p>
    <w:p w14:paraId="066C38C2" w14:textId="77777777" w:rsidR="00D86F54" w:rsidRPr="007E5190" w:rsidRDefault="00F12626" w:rsidP="0076077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A multi-stage docking strategy was employed</w:t>
      </w:r>
      <w:r w:rsidR="00551795" w:rsidRPr="007E5190">
        <w:rPr>
          <w:rFonts w:ascii="Times New Roman" w:hAnsi="Times New Roman" w:cs="Times New Roman"/>
        </w:rPr>
        <w:t xml:space="preserve"> </w:t>
      </w:r>
      <w:r w:rsidR="00551795" w:rsidRPr="007E5190">
        <w:rPr>
          <w:rFonts w:ascii="Times New Roman" w:hAnsi="Times New Roman" w:cs="Times New Roman"/>
          <w:color w:val="0D0D0D" w:themeColor="text1" w:themeTint="F2"/>
        </w:rPr>
        <w:t xml:space="preserve">to accommodate the distinct binding preferences of the diverse lead compounds. First, to identify potential binding cavities across the entire protein surface, a blind docking protocol was performed on the seven initial lead compounds using </w:t>
      </w:r>
      <w:proofErr w:type="spellStart"/>
      <w:r w:rsidR="00551795" w:rsidRPr="007E5190">
        <w:rPr>
          <w:rFonts w:ascii="Times New Roman" w:hAnsi="Times New Roman" w:cs="Times New Roman"/>
          <w:color w:val="0D0D0D" w:themeColor="text1" w:themeTint="F2"/>
        </w:rPr>
        <w:t>AutoDock</w:t>
      </w:r>
      <w:proofErr w:type="spellEnd"/>
      <w:r w:rsidR="00551795" w:rsidRPr="007E5190">
        <w:rPr>
          <w:rFonts w:ascii="Times New Roman" w:hAnsi="Times New Roman" w:cs="Times New Roman"/>
          <w:color w:val="0D0D0D" w:themeColor="text1" w:themeTint="F2"/>
        </w:rPr>
        <w:t xml:space="preserve"> 4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{"citationID":"nCT3X4Pg","properties":{"formattedCitation":"[26]","plainCitation":"[26]","noteIndex":0},"citationItems":[{"id":22,"uris":["http://zotero.org/users/local/GoHQ98fS/items/RTVNBJWJ"],"itemData":{"id":22,"type":"article-journal","abstract":"Abstract\n            We describe the testing and release of AutoDock4 and the accompanying graphical user interface AutoDockTools. AutoDock4 incorporates limited flexibility in the receptor. Several tests are reported here, including a redocking experiment with 188 diverse ligand‐protein complexes and a cross‐docking experiment using flexible sidechains in 87 HIV protease complexes. We also report its utility in analysis of covalently bound ligands, using both a grid‐based docking method and a modification of the flexible sidechain technique. © 2009 Wiley Periodicals, Inc. J Comput Chem, 2009","container-title":"Journal of Computational Chemistry","DOI":"10.1002/jcc.21256","ISSN":"0192-8651, 1096-987X","issue":"16","journalAbbreviation":"J Comput Chem","language":"en","license":"http://onlinelibrary.wiley.com/termsAndConditions#vor","page":"2785-2791","source":"DOI.org (Crossref)","title":"AutoDock4 and AutoDockTools4: Automated docking with selective receptor flexibility","title-short":"AutoDock4 and AutoDockTools4","URL":"https://onlinelibrary.wiley.com/doi/10.1002/jcc.21256","volume":"30","author":[{"family":"Morris","given":"Garrett M."},{"family":"Huey","given":"Ruth"},{"family":"Lindstrom","given":"William"},{"family":"Sanner","given":"Michel F."},{"family":"Belew","given":"Richard K."},{"family":"Goodsell","given":"David S."},{"family":"Olson","given":"Arthur J."}],"accessed":{"date-parts":[["2025",9,9]]},"issued":{"date-parts":[["2009",12]]}}}],"schema":"https://github.com/citation-style-language/schema/raw/master/csl-citation.json"}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[26]</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A large grid box (126 </w:t>
      </w:r>
      <m:oMath>
        <m:r>
          <w:rPr>
            <w:rFonts w:ascii="Cambria Math" w:hAnsi="Cambria Math" w:cs="Times New Roman"/>
            <w:color w:val="0D0D0D" w:themeColor="text1" w:themeTint="F2"/>
          </w:rPr>
          <m:t>×</m:t>
        </m:r>
      </m:oMath>
      <w:r w:rsidRPr="007E5190">
        <w:rPr>
          <w:rFonts w:ascii="Times New Roman" w:hAnsi="Times New Roman" w:cs="Times New Roman"/>
          <w:color w:val="0D0D0D" w:themeColor="text1" w:themeTint="F2"/>
        </w:rPr>
        <w:t xml:space="preserve"> 126 </w:t>
      </w:r>
      <m:oMath>
        <m:r>
          <w:rPr>
            <w:rFonts w:ascii="Cambria Math" w:hAnsi="Cambria Math" w:cs="Times New Roman"/>
            <w:color w:val="0D0D0D" w:themeColor="text1" w:themeTint="F2"/>
          </w:rPr>
          <m:t>×</m:t>
        </m:r>
      </m:oMath>
      <w:r w:rsidRPr="007E5190">
        <w:rPr>
          <w:rFonts w:ascii="Times New Roman" w:hAnsi="Times New Roman" w:cs="Times New Roman"/>
          <w:color w:val="0D0D0D" w:themeColor="text1" w:themeTint="F2"/>
        </w:rPr>
        <w:t xml:space="preserve"> 126 </w:t>
      </w:r>
      <m:oMath>
        <m:r>
          <w:rPr>
            <w:rFonts w:ascii="Cambria Math" w:hAnsi="Cambria Math" w:cs="Times New Roman"/>
            <w:color w:val="0D0D0D" w:themeColor="text1" w:themeTint="F2"/>
          </w:rPr>
          <m:t>Å</m:t>
        </m:r>
      </m:oMath>
      <w:r w:rsidRPr="007E5190">
        <w:rPr>
          <w:rFonts w:ascii="Times New Roman" w:hAnsi="Times New Roman" w:cs="Times New Roman"/>
          <w:color w:val="0D0D0D" w:themeColor="text1" w:themeTint="F2"/>
        </w:rPr>
        <w:t xml:space="preserve">) </w:t>
      </w:r>
      <w:r w:rsidR="009603C8" w:rsidRPr="007E5190">
        <w:rPr>
          <w:rFonts w:ascii="Times New Roman" w:hAnsi="Times New Roman" w:cs="Times New Roman"/>
          <w:color w:val="0D0D0D" w:themeColor="text1" w:themeTint="F2"/>
        </w:rPr>
        <w:t xml:space="preserve">was defined to encompass the entire protein structure; for example, in the screening of Oleanolic Acid, the grid was centered at x: </w:t>
      </w:r>
      <w:r w:rsidR="00540315" w:rsidRPr="007E5190">
        <w:rPr>
          <w:rFonts w:ascii="Times New Roman" w:hAnsi="Times New Roman" w:cs="Times New Roman"/>
          <w:color w:val="0D0D0D" w:themeColor="text1" w:themeTint="F2"/>
        </w:rPr>
        <w:t>-</w:t>
      </w:r>
      <w:r w:rsidR="00540315" w:rsidRPr="007E5190">
        <w:rPr>
          <w:rFonts w:ascii="Times New Roman" w:hAnsi="Times New Roman" w:cs="Times New Roman"/>
        </w:rPr>
        <w:t xml:space="preserve"> </w:t>
      </w:r>
      <w:r w:rsidR="00540315" w:rsidRPr="007E5190">
        <w:rPr>
          <w:rFonts w:ascii="Times New Roman" w:hAnsi="Times New Roman" w:cs="Times New Roman"/>
          <w:color w:val="0D0D0D" w:themeColor="text1" w:themeTint="F2"/>
        </w:rPr>
        <w:t>15.992</w:t>
      </w:r>
      <w:r w:rsidR="009603C8" w:rsidRPr="007E5190">
        <w:rPr>
          <w:rFonts w:ascii="Times New Roman" w:hAnsi="Times New Roman" w:cs="Times New Roman"/>
          <w:color w:val="0D0D0D" w:themeColor="text1" w:themeTint="F2"/>
        </w:rPr>
        <w:t>, y: -</w:t>
      </w:r>
      <w:r w:rsidR="00D86F54" w:rsidRPr="007E5190">
        <w:rPr>
          <w:rFonts w:ascii="Times New Roman" w:hAnsi="Times New Roman" w:cs="Times New Roman"/>
          <w:color w:val="0D0D0D" w:themeColor="text1" w:themeTint="F2"/>
        </w:rPr>
        <w:t>7.163</w:t>
      </w:r>
      <w:r w:rsidR="009603C8" w:rsidRPr="007E5190">
        <w:rPr>
          <w:rFonts w:ascii="Times New Roman" w:hAnsi="Times New Roman" w:cs="Times New Roman"/>
          <w:color w:val="0D0D0D" w:themeColor="text1" w:themeTint="F2"/>
        </w:rPr>
        <w:t xml:space="preserve">, z: </w:t>
      </w:r>
      <w:r w:rsidR="00D86F54" w:rsidRPr="007E5190">
        <w:rPr>
          <w:rFonts w:ascii="Times New Roman" w:hAnsi="Times New Roman" w:cs="Times New Roman"/>
          <w:color w:val="0D0D0D" w:themeColor="text1" w:themeTint="F2"/>
        </w:rPr>
        <w:t>67.378</w:t>
      </w:r>
      <w:r w:rsidR="009603C8" w:rsidRPr="007E5190">
        <w:rPr>
          <w:rFonts w:ascii="Times New Roman" w:hAnsi="Times New Roman" w:cs="Times New Roman"/>
          <w:color w:val="0D0D0D" w:themeColor="text1" w:themeTint="F2"/>
        </w:rPr>
        <w:t>. The</w:t>
      </w:r>
      <w:r w:rsidRPr="007E5190">
        <w:rPr>
          <w:rFonts w:ascii="Times New Roman" w:hAnsi="Times New Roman" w:cs="Times New Roman"/>
          <w:color w:val="0D0D0D" w:themeColor="text1" w:themeTint="F2"/>
        </w:rPr>
        <w:t xml:space="preserve"> Lamarckian Genetic Algorithm (LGA) was run for 50 iterations (</w:t>
      </w:r>
      <w:proofErr w:type="spellStart"/>
      <w:r w:rsidRPr="007E5190">
        <w:rPr>
          <w:rFonts w:ascii="Times New Roman" w:hAnsi="Times New Roman" w:cs="Times New Roman"/>
          <w:color w:val="0D0D0D" w:themeColor="text1" w:themeTint="F2"/>
        </w:rPr>
        <w:t>ga_num_runs</w:t>
      </w:r>
      <w:proofErr w:type="spellEnd"/>
      <w:r w:rsidRPr="007E5190">
        <w:rPr>
          <w:rFonts w:ascii="Times New Roman" w:hAnsi="Times New Roman" w:cs="Times New Roman"/>
          <w:color w:val="0D0D0D" w:themeColor="text1" w:themeTint="F2"/>
        </w:rPr>
        <w:t xml:space="preserve"> = 50).</w:t>
      </w:r>
      <w:r w:rsidR="001569E0" w:rsidRPr="007E5190">
        <w:rPr>
          <w:rFonts w:ascii="Times New Roman" w:hAnsi="Times New Roman" w:cs="Times New Roman"/>
          <w:color w:val="0D0D0D" w:themeColor="text1" w:themeTint="F2"/>
        </w:rPr>
        <w:t xml:space="preserve"> </w:t>
      </w:r>
    </w:p>
    <w:p w14:paraId="5D370619" w14:textId="54F4418E" w:rsidR="00F12626" w:rsidRPr="007E5190" w:rsidRDefault="001569E0" w:rsidP="0076077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Analysis of the blind docking results revealed distinct high-affinity binding pockets specific to each compound class. To refine these binding poses, a focused docking protocol was generated for each lead compound.</w:t>
      </w:r>
      <w:r w:rsidR="00760776" w:rsidRPr="007E5190">
        <w:rPr>
          <w:rFonts w:ascii="Times New Roman" w:hAnsi="Times New Roman" w:cs="Times New Roman"/>
        </w:rPr>
        <w:t xml:space="preserve"> </w:t>
      </w:r>
      <w:r w:rsidR="00760776" w:rsidRPr="007E5190">
        <w:rPr>
          <w:rFonts w:ascii="Times New Roman" w:hAnsi="Times New Roman" w:cs="Times New Roman"/>
          <w:color w:val="0D0D0D" w:themeColor="text1" w:themeTint="F2"/>
        </w:rPr>
        <w:t xml:space="preserve">Individual grid boxes were centered on the specific coordinates identified during the blind docking phase </w:t>
      </w:r>
      <w:r w:rsidR="00F12626" w:rsidRPr="007E5190">
        <w:rPr>
          <w:rFonts w:ascii="Times New Roman" w:hAnsi="Times New Roman" w:cs="Times New Roman"/>
          <w:color w:val="0D0D0D" w:themeColor="text1" w:themeTint="F2"/>
        </w:rPr>
        <w:t xml:space="preserve">(using coordinates from </w:t>
      </w:r>
      <w:r w:rsidR="00F12626" w:rsidRPr="007E5190">
        <w:rPr>
          <w:rFonts w:ascii="Times New Roman" w:hAnsi="Times New Roman" w:cs="Times New Roman"/>
          <w:color w:val="4472C4" w:themeColor="accent1"/>
        </w:rPr>
        <w:fldChar w:fldCharType="begin"/>
      </w:r>
      <w:r w:rsidR="00F12626" w:rsidRPr="007E5190">
        <w:rPr>
          <w:rFonts w:ascii="Times New Roman" w:hAnsi="Times New Roman" w:cs="Times New Roman"/>
          <w:color w:val="4472C4" w:themeColor="accent1"/>
        </w:rPr>
        <w:instrText xml:space="preserve"> REF _Ref213047885 \h  \* MERGEFORMAT </w:instrText>
      </w:r>
      <w:r w:rsidR="00F12626" w:rsidRPr="007E5190">
        <w:rPr>
          <w:rFonts w:ascii="Times New Roman" w:hAnsi="Times New Roman" w:cs="Times New Roman"/>
          <w:color w:val="4472C4" w:themeColor="accent1"/>
        </w:rPr>
      </w:r>
      <w:r w:rsidR="00F12626" w:rsidRPr="007E5190">
        <w:rPr>
          <w:rFonts w:ascii="Times New Roman" w:hAnsi="Times New Roman" w:cs="Times New Roman"/>
          <w:color w:val="4472C4" w:themeColor="accent1"/>
        </w:rPr>
        <w:fldChar w:fldCharType="separate"/>
      </w:r>
      <w:r w:rsidR="00F12626" w:rsidRPr="007E5190">
        <w:rPr>
          <w:rFonts w:ascii="Times New Roman" w:hAnsi="Times New Roman" w:cs="Times New Roman"/>
          <w:color w:val="4472C4" w:themeColor="accent1"/>
        </w:rPr>
        <w:t xml:space="preserve">Table </w:t>
      </w:r>
      <w:r w:rsidR="00F12626" w:rsidRPr="007E5190">
        <w:rPr>
          <w:rFonts w:ascii="Times New Roman" w:hAnsi="Times New Roman" w:cs="Times New Roman"/>
          <w:noProof/>
          <w:color w:val="4472C4" w:themeColor="accent1"/>
        </w:rPr>
        <w:t>1</w:t>
      </w:r>
      <w:r w:rsidR="00F12626" w:rsidRPr="007E5190">
        <w:rPr>
          <w:rFonts w:ascii="Times New Roman" w:hAnsi="Times New Roman" w:cs="Times New Roman"/>
          <w:color w:val="4472C4" w:themeColor="accent1"/>
        </w:rPr>
        <w:fldChar w:fldCharType="end"/>
      </w:r>
      <w:r w:rsidR="00F12626" w:rsidRPr="007E5190">
        <w:rPr>
          <w:rFonts w:ascii="Times New Roman" w:hAnsi="Times New Roman" w:cs="Times New Roman"/>
          <w:color w:val="0D0D0D" w:themeColor="text1" w:themeTint="F2"/>
        </w:rPr>
        <w:t xml:space="preserve">) </w:t>
      </w:r>
      <w:r w:rsidR="00760776" w:rsidRPr="007E5190">
        <w:rPr>
          <w:rFonts w:ascii="Times New Roman" w:hAnsi="Times New Roman" w:cs="Times New Roman"/>
          <w:color w:val="0D0D0D" w:themeColor="text1" w:themeTint="F2"/>
        </w:rPr>
        <w:t>using</w:t>
      </w:r>
      <w:r w:rsidR="00F12626" w:rsidRPr="007E5190">
        <w:rPr>
          <w:rFonts w:ascii="Times New Roman" w:hAnsi="Times New Roman" w:cs="Times New Roman"/>
          <w:color w:val="0D0D0D" w:themeColor="text1" w:themeTint="F2"/>
        </w:rPr>
        <w:t xml:space="preserve"> high-precision LGA parameters (</w:t>
      </w:r>
      <w:proofErr w:type="spellStart"/>
      <w:r w:rsidR="00F12626" w:rsidRPr="007E5190">
        <w:rPr>
          <w:rFonts w:ascii="Times New Roman" w:hAnsi="Times New Roman" w:cs="Times New Roman"/>
          <w:color w:val="0D0D0D" w:themeColor="text1" w:themeTint="F2"/>
        </w:rPr>
        <w:t>ga_num_runs</w:t>
      </w:r>
      <w:proofErr w:type="spellEnd"/>
      <w:r w:rsidR="00F12626" w:rsidRPr="007E5190">
        <w:rPr>
          <w:rFonts w:ascii="Times New Roman" w:hAnsi="Times New Roman" w:cs="Times New Roman"/>
          <w:color w:val="0D0D0D" w:themeColor="text1" w:themeTint="F2"/>
        </w:rPr>
        <w:t xml:space="preserve"> = 100) to obtain the binding energies reported in </w:t>
      </w:r>
      <w:r w:rsidR="00F12626" w:rsidRPr="007E5190">
        <w:rPr>
          <w:rFonts w:ascii="Times New Roman" w:hAnsi="Times New Roman" w:cs="Times New Roman"/>
          <w:color w:val="4472C4" w:themeColor="accent1"/>
        </w:rPr>
        <w:fldChar w:fldCharType="begin"/>
      </w:r>
      <w:r w:rsidR="00F12626" w:rsidRPr="007E5190">
        <w:rPr>
          <w:rFonts w:ascii="Times New Roman" w:hAnsi="Times New Roman" w:cs="Times New Roman"/>
          <w:color w:val="4472C4" w:themeColor="accent1"/>
        </w:rPr>
        <w:instrText xml:space="preserve"> REF _Ref213084699 \h </w:instrText>
      </w:r>
      <w:r w:rsidR="00F25C91" w:rsidRPr="007E5190">
        <w:rPr>
          <w:rFonts w:ascii="Times New Roman" w:hAnsi="Times New Roman" w:cs="Times New Roman"/>
          <w:color w:val="4472C4" w:themeColor="accent1"/>
        </w:rPr>
        <w:instrText xml:space="preserve"> \* MERGEFORMAT </w:instrText>
      </w:r>
      <w:r w:rsidR="00F12626" w:rsidRPr="007E5190">
        <w:rPr>
          <w:rFonts w:ascii="Times New Roman" w:hAnsi="Times New Roman" w:cs="Times New Roman"/>
          <w:color w:val="4472C4" w:themeColor="accent1"/>
        </w:rPr>
      </w:r>
      <w:r w:rsidR="00F12626" w:rsidRPr="007E5190">
        <w:rPr>
          <w:rFonts w:ascii="Times New Roman" w:hAnsi="Times New Roman" w:cs="Times New Roman"/>
          <w:color w:val="4472C4" w:themeColor="accent1"/>
        </w:rPr>
        <w:fldChar w:fldCharType="separate"/>
      </w:r>
      <w:r w:rsidR="00F12626" w:rsidRPr="007E5190">
        <w:rPr>
          <w:rFonts w:ascii="Times New Roman" w:hAnsi="Times New Roman" w:cs="Times New Roman"/>
          <w:color w:val="4472C4" w:themeColor="accent1"/>
        </w:rPr>
        <w:fldChar w:fldCharType="begin"/>
      </w:r>
      <w:r w:rsidR="00F12626" w:rsidRPr="007E5190">
        <w:rPr>
          <w:rFonts w:ascii="Times New Roman" w:hAnsi="Times New Roman" w:cs="Times New Roman"/>
          <w:color w:val="4472C4" w:themeColor="accent1"/>
        </w:rPr>
        <w:instrText xml:space="preserve"> REF _Ref213086250 \h </w:instrText>
      </w:r>
      <w:r w:rsidR="00DE02D0" w:rsidRPr="007E5190">
        <w:rPr>
          <w:rFonts w:ascii="Times New Roman" w:hAnsi="Times New Roman" w:cs="Times New Roman"/>
          <w:color w:val="4472C4" w:themeColor="accent1"/>
        </w:rPr>
        <w:instrText xml:space="preserve"> \* MERGEFORMAT </w:instrText>
      </w:r>
      <w:r w:rsidR="00F12626" w:rsidRPr="007E5190">
        <w:rPr>
          <w:rFonts w:ascii="Times New Roman" w:hAnsi="Times New Roman" w:cs="Times New Roman"/>
          <w:color w:val="4472C4" w:themeColor="accent1"/>
        </w:rPr>
      </w:r>
      <w:r w:rsidR="00F12626" w:rsidRPr="007E5190">
        <w:rPr>
          <w:rFonts w:ascii="Times New Roman" w:hAnsi="Times New Roman" w:cs="Times New Roman"/>
          <w:color w:val="4472C4" w:themeColor="accent1"/>
        </w:rPr>
        <w:fldChar w:fldCharType="separate"/>
      </w:r>
      <w:r w:rsidR="00F12626" w:rsidRPr="007E5190">
        <w:rPr>
          <w:rFonts w:ascii="Times New Roman" w:hAnsi="Times New Roman" w:cs="Times New Roman"/>
          <w:color w:val="4472C4" w:themeColor="accent1"/>
        </w:rPr>
        <w:t xml:space="preserve">Table </w:t>
      </w:r>
      <w:r w:rsidR="00F12626" w:rsidRPr="007E5190">
        <w:rPr>
          <w:rFonts w:ascii="Times New Roman" w:hAnsi="Times New Roman" w:cs="Times New Roman"/>
          <w:noProof/>
          <w:color w:val="4472C4" w:themeColor="accent1"/>
        </w:rPr>
        <w:t>3</w:t>
      </w:r>
      <w:r w:rsidR="00F12626" w:rsidRPr="007E5190">
        <w:rPr>
          <w:rFonts w:ascii="Times New Roman" w:hAnsi="Times New Roman" w:cs="Times New Roman"/>
          <w:color w:val="4472C4" w:themeColor="accent1"/>
        </w:rPr>
        <w:fldChar w:fldCharType="end"/>
      </w:r>
      <w:r w:rsidR="00F12626" w:rsidRPr="007E5190">
        <w:rPr>
          <w:rFonts w:ascii="Times New Roman" w:hAnsi="Times New Roman" w:cs="Times New Roman"/>
          <w:color w:val="4472C4" w:themeColor="accent1"/>
        </w:rPr>
        <w:fldChar w:fldCharType="end"/>
      </w:r>
      <w:r w:rsidR="00F12626" w:rsidRPr="007E5190">
        <w:rPr>
          <w:rFonts w:ascii="Times New Roman" w:hAnsi="Times New Roman" w:cs="Times New Roman"/>
          <w:color w:val="0D0D0D" w:themeColor="text1" w:themeTint="F2"/>
        </w:rPr>
        <w:t>.</w:t>
      </w:r>
      <w:r w:rsidR="00D86F54" w:rsidRPr="007E5190">
        <w:rPr>
          <w:rFonts w:ascii="Times New Roman" w:hAnsi="Times New Roman" w:cs="Times New Roman"/>
          <w:color w:val="0D0D0D" w:themeColor="text1" w:themeTint="F2"/>
        </w:rPr>
        <w:t xml:space="preserve"> </w:t>
      </w:r>
      <w:r w:rsidR="00F12626" w:rsidRPr="007E5190">
        <w:rPr>
          <w:rFonts w:ascii="Times New Roman" w:hAnsi="Times New Roman" w:cs="Times New Roman"/>
          <w:color w:val="0D0D0D" w:themeColor="text1" w:themeTint="F2"/>
        </w:rPr>
        <w:t xml:space="preserve">Subsequently, the 209-compound library was screened </w:t>
      </w:r>
      <w:r w:rsidR="00290A1F" w:rsidRPr="007E5190">
        <w:rPr>
          <w:rFonts w:ascii="Times New Roman" w:hAnsi="Times New Roman" w:cs="Times New Roman"/>
          <w:color w:val="0D0D0D" w:themeColor="text1" w:themeTint="F2"/>
        </w:rPr>
        <w:t xml:space="preserve">using the computationally efficient </w:t>
      </w:r>
      <w:proofErr w:type="spellStart"/>
      <w:r w:rsidR="00290A1F" w:rsidRPr="007E5190">
        <w:rPr>
          <w:rFonts w:ascii="Times New Roman" w:hAnsi="Times New Roman" w:cs="Times New Roman"/>
          <w:color w:val="0D0D0D" w:themeColor="text1" w:themeTint="F2"/>
        </w:rPr>
        <w:t>AutoDock</w:t>
      </w:r>
      <w:proofErr w:type="spellEnd"/>
      <w:r w:rsidR="00290A1F" w:rsidRPr="007E5190">
        <w:rPr>
          <w:rFonts w:ascii="Times New Roman" w:hAnsi="Times New Roman" w:cs="Times New Roman"/>
          <w:color w:val="0D0D0D" w:themeColor="text1" w:themeTint="F2"/>
        </w:rPr>
        <w:t xml:space="preserve"> Vina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{"citationID":"nFNkofMm","properties":{"formattedCitation":"[27]","plainCitation":"[27]","noteIndex":0},"citationItems":[{"id":38,"uris":["http://zotero.org/users/local/GoHQ98fS/items/7EIC24KZ"],"itemData":{"id":38,"type":"article-journal","abstract":"Abstract\n            AutoDock Vina, a new program for molecular docking and virtual screening, is presented. AutoDock Vina achieves an approximately two orders of magnitude speed‐up compared with the molecular docking software previously developed in our lab (AutoDock 4), while also significantly improving the accuracy of the binding mode predictions, judging by our tests on the training set used in AutoDock 4 development. Further speed‐up is achieved from parallelism, by using multithreading on multicore machines. AutoDock Vina automatically calculates the grid maps and clusters the results in a way transparent to the user. © 2009 Wiley Periodicals, Inc. J Comput Chem 2010","container-title":"Journal of Computational Chemistry","DOI":"10.1002/jcc.21334","ISSN":"0192-8651, 1096-987X","issue":"2","journalAbbreviation":"J Comput Chem","language":"en","license":"http://onlinelibrary.wiley.com/termsAndConditions#vor","page":"455-461","source":"DOI.org (Crossref)","title":"AutoDock Vina: Improving the speed and accuracy of docking with a new scoring function, efficient optimization, and multithreading","title-short":"AutoDock Vina","URL":"https://onlinelibrary.wiley.com/doi/10.1002/jcc.21334","volume":"31","author":[{"family":"Trott","given":"Oleg"},{"family":"Olson","given":"Arthur J."}],"accessed":{"date-parts":[["2025",9,9]]},"issued":{"date-parts":[["2010",1,30]]}}}],"schema":"https://github.com/citation-style-language/schema/raw/master/csl-citation.json"}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[27]</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w:t>
      </w:r>
      <w:r w:rsidR="005421EB" w:rsidRPr="007E5190">
        <w:rPr>
          <w:rFonts w:ascii="Times New Roman" w:hAnsi="Times New Roman" w:cs="Times New Roman"/>
          <w:color w:val="0D0D0D" w:themeColor="text1" w:themeTint="F2"/>
        </w:rPr>
        <w:t>This</w:t>
      </w:r>
      <w:r w:rsidR="005D3BF4" w:rsidRPr="007E5190">
        <w:rPr>
          <w:rFonts w:ascii="Times New Roman" w:hAnsi="Times New Roman" w:cs="Times New Roman"/>
          <w:color w:val="0D0D0D" w:themeColor="text1" w:themeTint="F2"/>
        </w:rPr>
        <w:t xml:space="preserve"> step employed a targeted approach: analogues were docked specifically into the focused grid box of their structural parent compound (e.g., </w:t>
      </w:r>
      <w:proofErr w:type="spellStart"/>
      <w:r w:rsidR="005D3BF4" w:rsidRPr="007E5190">
        <w:rPr>
          <w:rFonts w:ascii="Times New Roman" w:hAnsi="Times New Roman" w:cs="Times New Roman"/>
          <w:color w:val="0D0D0D" w:themeColor="text1" w:themeTint="F2"/>
        </w:rPr>
        <w:t>Maslinic</w:t>
      </w:r>
      <w:proofErr w:type="spellEnd"/>
      <w:r w:rsidR="005D3BF4" w:rsidRPr="007E5190">
        <w:rPr>
          <w:rFonts w:ascii="Times New Roman" w:hAnsi="Times New Roman" w:cs="Times New Roman"/>
          <w:color w:val="0D0D0D" w:themeColor="text1" w:themeTint="F2"/>
        </w:rPr>
        <w:t xml:space="preserve"> Acid analogues were docked into the </w:t>
      </w:r>
      <w:proofErr w:type="spellStart"/>
      <w:r w:rsidR="005D3BF4" w:rsidRPr="007E5190">
        <w:rPr>
          <w:rFonts w:ascii="Times New Roman" w:hAnsi="Times New Roman" w:cs="Times New Roman"/>
          <w:color w:val="0D0D0D" w:themeColor="text1" w:themeTint="F2"/>
        </w:rPr>
        <w:t>Maslinic</w:t>
      </w:r>
      <w:proofErr w:type="spellEnd"/>
      <w:r w:rsidR="005D3BF4" w:rsidRPr="007E5190">
        <w:rPr>
          <w:rFonts w:ascii="Times New Roman" w:hAnsi="Times New Roman" w:cs="Times New Roman"/>
          <w:color w:val="0D0D0D" w:themeColor="text1" w:themeTint="F2"/>
        </w:rPr>
        <w:t xml:space="preserve"> Acid binding pocket). A hierarchical screening protocol was used: a primary screen (exhaustiveness = 8), followed by a high-precision refinement (exhaustiveness = 32) of the top-scoring candidates from each analog family. The final binding affinities from this refinement step are reported in</w:t>
      </w:r>
      <w:r w:rsidR="00F12626" w:rsidRPr="007E5190">
        <w:rPr>
          <w:rFonts w:ascii="Times New Roman" w:hAnsi="Times New Roman" w:cs="Times New Roman"/>
          <w:color w:val="4472C4" w:themeColor="accent1"/>
        </w:rPr>
        <w:t xml:space="preserve"> </w:t>
      </w:r>
      <w:r w:rsidR="00F12626" w:rsidRPr="007E5190">
        <w:rPr>
          <w:rFonts w:ascii="Times New Roman" w:hAnsi="Times New Roman" w:cs="Times New Roman"/>
          <w:color w:val="4472C4" w:themeColor="accent1"/>
        </w:rPr>
        <w:fldChar w:fldCharType="begin"/>
      </w:r>
      <w:r w:rsidR="00F12626" w:rsidRPr="007E5190">
        <w:rPr>
          <w:rFonts w:ascii="Times New Roman" w:hAnsi="Times New Roman" w:cs="Times New Roman"/>
          <w:color w:val="4472C4" w:themeColor="accent1"/>
        </w:rPr>
        <w:instrText xml:space="preserve"> REF _Ref213047924 \h  \* MERGEFORMAT </w:instrText>
      </w:r>
      <w:r w:rsidR="00F12626" w:rsidRPr="007E5190">
        <w:rPr>
          <w:rFonts w:ascii="Times New Roman" w:hAnsi="Times New Roman" w:cs="Times New Roman"/>
          <w:color w:val="4472C4" w:themeColor="accent1"/>
        </w:rPr>
      </w:r>
      <w:r w:rsidR="00F12626" w:rsidRPr="007E5190">
        <w:rPr>
          <w:rFonts w:ascii="Times New Roman" w:hAnsi="Times New Roman" w:cs="Times New Roman"/>
          <w:color w:val="4472C4" w:themeColor="accent1"/>
        </w:rPr>
        <w:fldChar w:fldCharType="separate"/>
      </w:r>
      <w:r w:rsidR="00F12626" w:rsidRPr="007E5190">
        <w:rPr>
          <w:rFonts w:ascii="Times New Roman" w:hAnsi="Times New Roman" w:cs="Times New Roman"/>
          <w:color w:val="4472C4" w:themeColor="accent1"/>
        </w:rPr>
        <w:t xml:space="preserve">Table </w:t>
      </w:r>
      <w:r w:rsidR="00F12626" w:rsidRPr="007E5190">
        <w:rPr>
          <w:rFonts w:ascii="Times New Roman" w:hAnsi="Times New Roman" w:cs="Times New Roman"/>
          <w:noProof/>
          <w:color w:val="4472C4" w:themeColor="accent1"/>
        </w:rPr>
        <w:t>4</w:t>
      </w:r>
      <w:r w:rsidR="00F12626" w:rsidRPr="007E5190">
        <w:rPr>
          <w:rFonts w:ascii="Times New Roman" w:hAnsi="Times New Roman" w:cs="Times New Roman"/>
          <w:color w:val="4472C4" w:themeColor="accent1"/>
        </w:rPr>
        <w:fldChar w:fldCharType="end"/>
      </w:r>
      <w:r w:rsidR="00F12626" w:rsidRPr="007E5190">
        <w:rPr>
          <w:rFonts w:ascii="Times New Roman" w:hAnsi="Times New Roman" w:cs="Times New Roman"/>
          <w:color w:val="0D0D0D" w:themeColor="text1" w:themeTint="F2"/>
        </w:rPr>
        <w:t>.</w:t>
      </w:r>
    </w:p>
    <w:p w14:paraId="22F1DD54" w14:textId="77777777" w:rsidR="00F12626" w:rsidRPr="007E5190" w:rsidRDefault="00F12626" w:rsidP="00F12626">
      <w:pPr>
        <w:pStyle w:val="Caption"/>
        <w:keepNext/>
        <w:rPr>
          <w:rFonts w:ascii="Times New Roman" w:hAnsi="Times New Roman" w:cs="Times New Roman"/>
          <w:i/>
          <w:iCs w:val="0"/>
          <w:color w:val="0D0D0D" w:themeColor="text1" w:themeTint="F2"/>
          <w:sz w:val="24"/>
          <w:szCs w:val="24"/>
        </w:rPr>
      </w:pPr>
    </w:p>
    <w:p w14:paraId="33C496BD" w14:textId="77777777" w:rsidR="00F12626" w:rsidRPr="007E5190" w:rsidRDefault="00F12626" w:rsidP="00F12626">
      <w:pPr>
        <w:pStyle w:val="Caption"/>
        <w:keepNext/>
        <w:rPr>
          <w:rFonts w:ascii="Times New Roman" w:hAnsi="Times New Roman" w:cs="Times New Roman"/>
          <w:b w:val="0"/>
          <w:bCs/>
          <w:color w:val="0D0D0D" w:themeColor="text1" w:themeTint="F2"/>
          <w:sz w:val="24"/>
          <w:szCs w:val="24"/>
        </w:rPr>
      </w:pPr>
      <w:bookmarkStart w:id="0" w:name="_Ref213047885"/>
      <w:r w:rsidRPr="007E5190">
        <w:rPr>
          <w:rFonts w:ascii="Times New Roman" w:hAnsi="Times New Roman" w:cs="Times New Roman"/>
          <w:color w:val="0D0D0D" w:themeColor="text1" w:themeTint="F2"/>
          <w:sz w:val="24"/>
          <w:szCs w:val="24"/>
        </w:rPr>
        <w:t xml:space="preserve">Table </w:t>
      </w:r>
      <w:r w:rsidRPr="007E5190">
        <w:rPr>
          <w:rFonts w:ascii="Times New Roman" w:hAnsi="Times New Roman" w:cs="Times New Roman"/>
          <w:color w:val="0D0D0D" w:themeColor="text1" w:themeTint="F2"/>
          <w:sz w:val="24"/>
          <w:szCs w:val="24"/>
        </w:rPr>
        <w:fldChar w:fldCharType="begin"/>
      </w:r>
      <w:r w:rsidRPr="007E5190">
        <w:rPr>
          <w:rFonts w:ascii="Times New Roman" w:hAnsi="Times New Roman" w:cs="Times New Roman"/>
          <w:color w:val="0D0D0D" w:themeColor="text1" w:themeTint="F2"/>
          <w:sz w:val="24"/>
          <w:szCs w:val="24"/>
        </w:rPr>
        <w:instrText xml:space="preserve"> SEQ Table \* ARABIC </w:instrText>
      </w:r>
      <w:r w:rsidRPr="007E5190">
        <w:rPr>
          <w:rFonts w:ascii="Times New Roman" w:hAnsi="Times New Roman" w:cs="Times New Roman"/>
          <w:color w:val="0D0D0D" w:themeColor="text1" w:themeTint="F2"/>
          <w:sz w:val="24"/>
          <w:szCs w:val="24"/>
        </w:rPr>
        <w:fldChar w:fldCharType="separate"/>
      </w:r>
      <w:r w:rsidRPr="007E5190">
        <w:rPr>
          <w:rFonts w:ascii="Times New Roman" w:hAnsi="Times New Roman" w:cs="Times New Roman"/>
          <w:noProof/>
          <w:color w:val="0D0D0D" w:themeColor="text1" w:themeTint="F2"/>
          <w:sz w:val="24"/>
          <w:szCs w:val="24"/>
        </w:rPr>
        <w:t>1</w:t>
      </w:r>
      <w:r w:rsidRPr="007E5190">
        <w:rPr>
          <w:rFonts w:ascii="Times New Roman" w:hAnsi="Times New Roman" w:cs="Times New Roman"/>
          <w:color w:val="0D0D0D" w:themeColor="text1" w:themeTint="F2"/>
          <w:sz w:val="24"/>
          <w:szCs w:val="24"/>
        </w:rPr>
        <w:fldChar w:fldCharType="end"/>
      </w:r>
      <w:bookmarkEnd w:id="0"/>
      <w:r w:rsidRPr="007E5190">
        <w:rPr>
          <w:rFonts w:ascii="Times New Roman" w:hAnsi="Times New Roman" w:cs="Times New Roman"/>
          <w:color w:val="0D0D0D" w:themeColor="text1" w:themeTint="F2"/>
          <w:sz w:val="24"/>
          <w:szCs w:val="24"/>
        </w:rPr>
        <w:t xml:space="preserve">. </w:t>
      </w:r>
      <w:r w:rsidRPr="007E5190">
        <w:rPr>
          <w:rFonts w:ascii="Times New Roman" w:hAnsi="Times New Roman" w:cs="Times New Roman"/>
          <w:b w:val="0"/>
          <w:bCs/>
          <w:color w:val="0D0D0D" w:themeColor="text1" w:themeTint="F2"/>
          <w:sz w:val="24"/>
          <w:szCs w:val="24"/>
        </w:rPr>
        <w:t>Focused Docking Grid Box Center Coordinates</w:t>
      </w:r>
    </w:p>
    <w:tbl>
      <w:tblPr>
        <w:tblStyle w:val="TableGrid"/>
        <w:tblW w:w="5000" w:type="pct"/>
        <w:jc w:val="center"/>
        <w:tblLook w:val="04A0" w:firstRow="1" w:lastRow="0" w:firstColumn="1" w:lastColumn="0" w:noHBand="0" w:noVBand="1"/>
      </w:tblPr>
      <w:tblGrid>
        <w:gridCol w:w="1872"/>
        <w:gridCol w:w="1872"/>
        <w:gridCol w:w="1872"/>
        <w:gridCol w:w="1872"/>
        <w:gridCol w:w="1872"/>
      </w:tblGrid>
      <w:tr w:rsidR="00F12626" w:rsidRPr="007E5190" w14:paraId="41774AC6" w14:textId="77777777" w:rsidTr="006D072F">
        <w:trPr>
          <w:trHeight w:val="864"/>
          <w:tblHeader/>
          <w:jc w:val="center"/>
        </w:trPr>
        <w:tc>
          <w:tcPr>
            <w:tcW w:w="1000" w:type="pct"/>
            <w:tcBorders>
              <w:top w:val="single" w:sz="4" w:space="0" w:color="auto"/>
              <w:left w:val="nil"/>
              <w:bottom w:val="single" w:sz="4" w:space="0" w:color="auto"/>
              <w:right w:val="nil"/>
            </w:tcBorders>
            <w:vAlign w:val="center"/>
          </w:tcPr>
          <w:p w14:paraId="17D7A57B" w14:textId="77777777" w:rsidR="00F12626" w:rsidRPr="007E5190" w:rsidRDefault="00F12626" w:rsidP="0075430E">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Sr. No</w:t>
            </w:r>
          </w:p>
        </w:tc>
        <w:tc>
          <w:tcPr>
            <w:tcW w:w="1000" w:type="pct"/>
            <w:tcBorders>
              <w:top w:val="single" w:sz="4" w:space="0" w:color="auto"/>
              <w:left w:val="nil"/>
              <w:bottom w:val="single" w:sz="4" w:space="0" w:color="auto"/>
              <w:right w:val="nil"/>
            </w:tcBorders>
            <w:vAlign w:val="center"/>
          </w:tcPr>
          <w:p w14:paraId="46F42AD6" w14:textId="77777777" w:rsidR="00F12626" w:rsidRPr="007E5190" w:rsidRDefault="00F12626" w:rsidP="0075430E">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Compound Name</w:t>
            </w:r>
          </w:p>
        </w:tc>
        <w:tc>
          <w:tcPr>
            <w:tcW w:w="1000" w:type="pct"/>
            <w:tcBorders>
              <w:top w:val="single" w:sz="4" w:space="0" w:color="auto"/>
              <w:left w:val="nil"/>
              <w:bottom w:val="single" w:sz="4" w:space="0" w:color="auto"/>
              <w:right w:val="nil"/>
            </w:tcBorders>
            <w:vAlign w:val="center"/>
          </w:tcPr>
          <w:p w14:paraId="201C34B4" w14:textId="77777777" w:rsidR="00F12626" w:rsidRPr="007E5190" w:rsidRDefault="00F12626" w:rsidP="0075430E">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X center</w:t>
            </w:r>
          </w:p>
        </w:tc>
        <w:tc>
          <w:tcPr>
            <w:tcW w:w="1000" w:type="pct"/>
            <w:tcBorders>
              <w:top w:val="single" w:sz="4" w:space="0" w:color="auto"/>
              <w:left w:val="nil"/>
              <w:bottom w:val="single" w:sz="4" w:space="0" w:color="auto"/>
              <w:right w:val="nil"/>
            </w:tcBorders>
            <w:vAlign w:val="center"/>
          </w:tcPr>
          <w:p w14:paraId="751E9283" w14:textId="77777777" w:rsidR="00F12626" w:rsidRPr="007E5190" w:rsidRDefault="00F12626" w:rsidP="0075430E">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Y center</w:t>
            </w:r>
          </w:p>
        </w:tc>
        <w:tc>
          <w:tcPr>
            <w:tcW w:w="1000" w:type="pct"/>
            <w:tcBorders>
              <w:top w:val="single" w:sz="4" w:space="0" w:color="auto"/>
              <w:left w:val="nil"/>
              <w:bottom w:val="single" w:sz="4" w:space="0" w:color="auto"/>
              <w:right w:val="nil"/>
            </w:tcBorders>
            <w:vAlign w:val="center"/>
          </w:tcPr>
          <w:p w14:paraId="30E7A37A" w14:textId="77777777" w:rsidR="00F12626" w:rsidRPr="007E5190" w:rsidRDefault="00F12626" w:rsidP="0075430E">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Z center</w:t>
            </w:r>
          </w:p>
        </w:tc>
      </w:tr>
      <w:tr w:rsidR="00F12626" w:rsidRPr="007E5190" w14:paraId="37A8EF98" w14:textId="77777777" w:rsidTr="006D072F">
        <w:trPr>
          <w:trHeight w:val="552"/>
          <w:jc w:val="center"/>
        </w:trPr>
        <w:tc>
          <w:tcPr>
            <w:tcW w:w="1000" w:type="pct"/>
            <w:tcBorders>
              <w:top w:val="single" w:sz="4" w:space="0" w:color="auto"/>
              <w:left w:val="nil"/>
              <w:bottom w:val="nil"/>
              <w:right w:val="nil"/>
            </w:tcBorders>
            <w:vAlign w:val="center"/>
          </w:tcPr>
          <w:p w14:paraId="187C6466"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000" w:type="pct"/>
            <w:tcBorders>
              <w:top w:val="single" w:sz="4" w:space="0" w:color="auto"/>
              <w:left w:val="nil"/>
              <w:bottom w:val="nil"/>
              <w:right w:val="nil"/>
            </w:tcBorders>
            <w:vAlign w:val="center"/>
          </w:tcPr>
          <w:p w14:paraId="7724680E" w14:textId="77777777" w:rsidR="00F12626" w:rsidRPr="007E5190" w:rsidRDefault="00F12626" w:rsidP="0075430E">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Chelerythrine</w:t>
            </w:r>
            <w:proofErr w:type="spellEnd"/>
          </w:p>
        </w:tc>
        <w:tc>
          <w:tcPr>
            <w:tcW w:w="1000" w:type="pct"/>
            <w:tcBorders>
              <w:top w:val="single" w:sz="4" w:space="0" w:color="auto"/>
              <w:left w:val="nil"/>
              <w:bottom w:val="nil"/>
              <w:right w:val="nil"/>
            </w:tcBorders>
            <w:vAlign w:val="center"/>
          </w:tcPr>
          <w:p w14:paraId="4AB8DA78"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-9.518</w:t>
            </w:r>
          </w:p>
        </w:tc>
        <w:tc>
          <w:tcPr>
            <w:tcW w:w="1000" w:type="pct"/>
            <w:tcBorders>
              <w:top w:val="single" w:sz="4" w:space="0" w:color="auto"/>
              <w:left w:val="nil"/>
              <w:bottom w:val="nil"/>
              <w:right w:val="nil"/>
            </w:tcBorders>
            <w:vAlign w:val="center"/>
          </w:tcPr>
          <w:p w14:paraId="30A21153"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-17.350</w:t>
            </w:r>
          </w:p>
        </w:tc>
        <w:tc>
          <w:tcPr>
            <w:tcW w:w="1000" w:type="pct"/>
            <w:tcBorders>
              <w:top w:val="single" w:sz="4" w:space="0" w:color="auto"/>
              <w:left w:val="nil"/>
              <w:bottom w:val="nil"/>
              <w:right w:val="nil"/>
            </w:tcBorders>
            <w:vAlign w:val="center"/>
          </w:tcPr>
          <w:p w14:paraId="547F6DED"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91.941</w:t>
            </w:r>
          </w:p>
        </w:tc>
      </w:tr>
      <w:tr w:rsidR="00F12626" w:rsidRPr="007E5190" w14:paraId="2D444A33" w14:textId="77777777" w:rsidTr="006D072F">
        <w:trPr>
          <w:trHeight w:val="552"/>
          <w:jc w:val="center"/>
        </w:trPr>
        <w:tc>
          <w:tcPr>
            <w:tcW w:w="1000" w:type="pct"/>
            <w:tcBorders>
              <w:top w:val="nil"/>
              <w:left w:val="nil"/>
              <w:bottom w:val="nil"/>
              <w:right w:val="nil"/>
            </w:tcBorders>
            <w:vAlign w:val="center"/>
          </w:tcPr>
          <w:p w14:paraId="66FC7388"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lastRenderedPageBreak/>
              <w:t>2.</w:t>
            </w:r>
          </w:p>
        </w:tc>
        <w:tc>
          <w:tcPr>
            <w:tcW w:w="1000" w:type="pct"/>
            <w:tcBorders>
              <w:top w:val="nil"/>
              <w:left w:val="nil"/>
              <w:bottom w:val="nil"/>
              <w:right w:val="nil"/>
            </w:tcBorders>
            <w:vAlign w:val="center"/>
          </w:tcPr>
          <w:p w14:paraId="7DE91606"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Lupeol</w:t>
            </w:r>
          </w:p>
        </w:tc>
        <w:tc>
          <w:tcPr>
            <w:tcW w:w="1000" w:type="pct"/>
            <w:tcBorders>
              <w:top w:val="nil"/>
              <w:left w:val="nil"/>
              <w:bottom w:val="nil"/>
              <w:right w:val="nil"/>
            </w:tcBorders>
            <w:vAlign w:val="center"/>
          </w:tcPr>
          <w:p w14:paraId="71FEDA6A"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5.379</w:t>
            </w:r>
          </w:p>
        </w:tc>
        <w:tc>
          <w:tcPr>
            <w:tcW w:w="1000" w:type="pct"/>
            <w:tcBorders>
              <w:top w:val="nil"/>
              <w:left w:val="nil"/>
              <w:bottom w:val="nil"/>
              <w:right w:val="nil"/>
            </w:tcBorders>
            <w:vAlign w:val="center"/>
          </w:tcPr>
          <w:p w14:paraId="590E069F"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-3.299</w:t>
            </w:r>
          </w:p>
        </w:tc>
        <w:tc>
          <w:tcPr>
            <w:tcW w:w="1000" w:type="pct"/>
            <w:tcBorders>
              <w:top w:val="nil"/>
              <w:left w:val="nil"/>
              <w:bottom w:val="nil"/>
              <w:right w:val="nil"/>
            </w:tcBorders>
            <w:vAlign w:val="center"/>
          </w:tcPr>
          <w:p w14:paraId="0A20F42E"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88.225</w:t>
            </w:r>
          </w:p>
        </w:tc>
      </w:tr>
      <w:tr w:rsidR="00F12626" w:rsidRPr="007E5190" w14:paraId="757C45E3" w14:textId="77777777" w:rsidTr="006D072F">
        <w:trPr>
          <w:trHeight w:val="552"/>
          <w:jc w:val="center"/>
        </w:trPr>
        <w:tc>
          <w:tcPr>
            <w:tcW w:w="1000" w:type="pct"/>
            <w:tcBorders>
              <w:top w:val="nil"/>
              <w:left w:val="nil"/>
              <w:bottom w:val="nil"/>
              <w:right w:val="nil"/>
            </w:tcBorders>
            <w:vAlign w:val="center"/>
          </w:tcPr>
          <w:p w14:paraId="2FDF56ED"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w:t>
            </w:r>
          </w:p>
        </w:tc>
        <w:tc>
          <w:tcPr>
            <w:tcW w:w="1000" w:type="pct"/>
            <w:tcBorders>
              <w:top w:val="nil"/>
              <w:left w:val="nil"/>
              <w:bottom w:val="nil"/>
              <w:right w:val="nil"/>
            </w:tcBorders>
            <w:vAlign w:val="center"/>
          </w:tcPr>
          <w:p w14:paraId="2616981E"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Quercetin</w:t>
            </w:r>
          </w:p>
        </w:tc>
        <w:tc>
          <w:tcPr>
            <w:tcW w:w="1000" w:type="pct"/>
            <w:tcBorders>
              <w:top w:val="nil"/>
              <w:left w:val="nil"/>
              <w:bottom w:val="nil"/>
              <w:right w:val="nil"/>
            </w:tcBorders>
            <w:vAlign w:val="center"/>
          </w:tcPr>
          <w:p w14:paraId="4BD67E74"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-10.608</w:t>
            </w:r>
          </w:p>
        </w:tc>
        <w:tc>
          <w:tcPr>
            <w:tcW w:w="1000" w:type="pct"/>
            <w:tcBorders>
              <w:top w:val="nil"/>
              <w:left w:val="nil"/>
              <w:bottom w:val="nil"/>
              <w:right w:val="nil"/>
            </w:tcBorders>
            <w:vAlign w:val="center"/>
          </w:tcPr>
          <w:p w14:paraId="7EBE13E2"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11.533</w:t>
            </w:r>
          </w:p>
        </w:tc>
        <w:tc>
          <w:tcPr>
            <w:tcW w:w="1000" w:type="pct"/>
            <w:tcBorders>
              <w:top w:val="nil"/>
              <w:left w:val="nil"/>
              <w:bottom w:val="nil"/>
              <w:right w:val="nil"/>
            </w:tcBorders>
            <w:vAlign w:val="center"/>
          </w:tcPr>
          <w:p w14:paraId="5D0DCCF2"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34.521</w:t>
            </w:r>
          </w:p>
        </w:tc>
      </w:tr>
      <w:tr w:rsidR="00F12626" w:rsidRPr="007E5190" w14:paraId="20D7C8C5" w14:textId="77777777" w:rsidTr="006D072F">
        <w:trPr>
          <w:trHeight w:val="552"/>
          <w:jc w:val="center"/>
        </w:trPr>
        <w:tc>
          <w:tcPr>
            <w:tcW w:w="1000" w:type="pct"/>
            <w:tcBorders>
              <w:top w:val="nil"/>
              <w:left w:val="nil"/>
              <w:bottom w:val="nil"/>
              <w:right w:val="nil"/>
            </w:tcBorders>
            <w:vAlign w:val="center"/>
          </w:tcPr>
          <w:p w14:paraId="3B921DD6"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00" w:type="pct"/>
            <w:tcBorders>
              <w:top w:val="nil"/>
              <w:left w:val="nil"/>
              <w:bottom w:val="nil"/>
              <w:right w:val="nil"/>
            </w:tcBorders>
            <w:vAlign w:val="center"/>
          </w:tcPr>
          <w:p w14:paraId="6F8F64B2" w14:textId="77777777" w:rsidR="00F12626" w:rsidRPr="007E5190" w:rsidRDefault="00F12626" w:rsidP="0075430E">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Ursolic</w:t>
            </w:r>
            <w:proofErr w:type="spellEnd"/>
            <w:r w:rsidRPr="007E5190">
              <w:rPr>
                <w:rFonts w:ascii="Times New Roman" w:hAnsi="Times New Roman" w:cs="Times New Roman"/>
                <w:color w:val="0D0D0D" w:themeColor="text1" w:themeTint="F2"/>
              </w:rPr>
              <w:t xml:space="preserve"> Acid</w:t>
            </w:r>
          </w:p>
        </w:tc>
        <w:tc>
          <w:tcPr>
            <w:tcW w:w="1000" w:type="pct"/>
            <w:tcBorders>
              <w:top w:val="nil"/>
              <w:left w:val="nil"/>
              <w:bottom w:val="nil"/>
              <w:right w:val="nil"/>
            </w:tcBorders>
            <w:vAlign w:val="center"/>
          </w:tcPr>
          <w:p w14:paraId="6B16E537"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7.100</w:t>
            </w:r>
          </w:p>
        </w:tc>
        <w:tc>
          <w:tcPr>
            <w:tcW w:w="1000" w:type="pct"/>
            <w:tcBorders>
              <w:top w:val="nil"/>
              <w:left w:val="nil"/>
              <w:bottom w:val="nil"/>
              <w:right w:val="nil"/>
            </w:tcBorders>
            <w:vAlign w:val="center"/>
          </w:tcPr>
          <w:p w14:paraId="68646630"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-7.531</w:t>
            </w:r>
          </w:p>
        </w:tc>
        <w:tc>
          <w:tcPr>
            <w:tcW w:w="1000" w:type="pct"/>
            <w:tcBorders>
              <w:top w:val="nil"/>
              <w:left w:val="nil"/>
              <w:bottom w:val="nil"/>
              <w:right w:val="nil"/>
            </w:tcBorders>
            <w:vAlign w:val="center"/>
          </w:tcPr>
          <w:p w14:paraId="6EB13F56"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95.115</w:t>
            </w:r>
          </w:p>
        </w:tc>
      </w:tr>
      <w:tr w:rsidR="00F12626" w:rsidRPr="007E5190" w14:paraId="1BABD3FB" w14:textId="77777777" w:rsidTr="006D072F">
        <w:trPr>
          <w:trHeight w:val="552"/>
          <w:jc w:val="center"/>
        </w:trPr>
        <w:tc>
          <w:tcPr>
            <w:tcW w:w="1000" w:type="pct"/>
            <w:tcBorders>
              <w:top w:val="nil"/>
              <w:left w:val="nil"/>
              <w:bottom w:val="nil"/>
              <w:right w:val="nil"/>
            </w:tcBorders>
            <w:vAlign w:val="center"/>
          </w:tcPr>
          <w:p w14:paraId="113DF13B"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000" w:type="pct"/>
            <w:tcBorders>
              <w:top w:val="nil"/>
              <w:left w:val="nil"/>
              <w:bottom w:val="nil"/>
              <w:right w:val="nil"/>
            </w:tcBorders>
            <w:vAlign w:val="center"/>
          </w:tcPr>
          <w:p w14:paraId="105C18BD" w14:textId="77777777" w:rsidR="00F12626" w:rsidRPr="007E5190" w:rsidRDefault="00F12626" w:rsidP="0075430E">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w:t>
            </w:r>
          </w:p>
        </w:tc>
        <w:tc>
          <w:tcPr>
            <w:tcW w:w="1000" w:type="pct"/>
            <w:tcBorders>
              <w:top w:val="nil"/>
              <w:left w:val="nil"/>
              <w:bottom w:val="nil"/>
              <w:right w:val="nil"/>
            </w:tcBorders>
            <w:vAlign w:val="center"/>
          </w:tcPr>
          <w:p w14:paraId="382DB5E5"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-6.621</w:t>
            </w:r>
          </w:p>
        </w:tc>
        <w:tc>
          <w:tcPr>
            <w:tcW w:w="1000" w:type="pct"/>
            <w:tcBorders>
              <w:top w:val="nil"/>
              <w:left w:val="nil"/>
              <w:bottom w:val="nil"/>
              <w:right w:val="nil"/>
            </w:tcBorders>
            <w:vAlign w:val="center"/>
          </w:tcPr>
          <w:p w14:paraId="4CA7E49D"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23.422</w:t>
            </w:r>
          </w:p>
        </w:tc>
        <w:tc>
          <w:tcPr>
            <w:tcW w:w="1000" w:type="pct"/>
            <w:tcBorders>
              <w:top w:val="nil"/>
              <w:left w:val="nil"/>
              <w:bottom w:val="nil"/>
              <w:right w:val="nil"/>
            </w:tcBorders>
            <w:vAlign w:val="center"/>
          </w:tcPr>
          <w:p w14:paraId="5FFA2D61"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45.872</w:t>
            </w:r>
          </w:p>
        </w:tc>
      </w:tr>
      <w:tr w:rsidR="00F12626" w:rsidRPr="007E5190" w14:paraId="5BEE8182" w14:textId="77777777" w:rsidTr="006D072F">
        <w:trPr>
          <w:trHeight w:val="552"/>
          <w:jc w:val="center"/>
        </w:trPr>
        <w:tc>
          <w:tcPr>
            <w:tcW w:w="1000" w:type="pct"/>
            <w:tcBorders>
              <w:top w:val="nil"/>
              <w:left w:val="nil"/>
              <w:bottom w:val="nil"/>
              <w:right w:val="nil"/>
            </w:tcBorders>
            <w:vAlign w:val="center"/>
          </w:tcPr>
          <w:p w14:paraId="29F013AF"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w:t>
            </w:r>
          </w:p>
        </w:tc>
        <w:tc>
          <w:tcPr>
            <w:tcW w:w="1000" w:type="pct"/>
            <w:tcBorders>
              <w:top w:val="nil"/>
              <w:left w:val="nil"/>
              <w:bottom w:val="nil"/>
              <w:right w:val="nil"/>
            </w:tcBorders>
            <w:vAlign w:val="center"/>
          </w:tcPr>
          <w:p w14:paraId="7A2FEFB2"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Hederagenin</w:t>
            </w:r>
          </w:p>
        </w:tc>
        <w:tc>
          <w:tcPr>
            <w:tcW w:w="1000" w:type="pct"/>
            <w:tcBorders>
              <w:top w:val="nil"/>
              <w:left w:val="nil"/>
              <w:bottom w:val="nil"/>
              <w:right w:val="nil"/>
            </w:tcBorders>
            <w:vAlign w:val="center"/>
          </w:tcPr>
          <w:p w14:paraId="1C0B78AD"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-16.284</w:t>
            </w:r>
          </w:p>
        </w:tc>
        <w:tc>
          <w:tcPr>
            <w:tcW w:w="1000" w:type="pct"/>
            <w:tcBorders>
              <w:top w:val="nil"/>
              <w:left w:val="nil"/>
              <w:bottom w:val="nil"/>
              <w:right w:val="nil"/>
            </w:tcBorders>
            <w:vAlign w:val="center"/>
          </w:tcPr>
          <w:p w14:paraId="7F2145CF"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-5.865</w:t>
            </w:r>
          </w:p>
        </w:tc>
        <w:tc>
          <w:tcPr>
            <w:tcW w:w="1000" w:type="pct"/>
            <w:tcBorders>
              <w:top w:val="nil"/>
              <w:left w:val="nil"/>
              <w:bottom w:val="nil"/>
              <w:right w:val="nil"/>
            </w:tcBorders>
            <w:vAlign w:val="center"/>
          </w:tcPr>
          <w:p w14:paraId="3A80028C"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66.007</w:t>
            </w:r>
          </w:p>
        </w:tc>
      </w:tr>
      <w:tr w:rsidR="00F12626" w:rsidRPr="007E5190" w14:paraId="22CB4C8B" w14:textId="77777777" w:rsidTr="006D072F">
        <w:trPr>
          <w:trHeight w:val="552"/>
          <w:jc w:val="center"/>
        </w:trPr>
        <w:tc>
          <w:tcPr>
            <w:tcW w:w="1000" w:type="pct"/>
            <w:tcBorders>
              <w:top w:val="nil"/>
              <w:left w:val="nil"/>
              <w:right w:val="nil"/>
            </w:tcBorders>
            <w:vAlign w:val="center"/>
          </w:tcPr>
          <w:p w14:paraId="67EB5175"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w:t>
            </w:r>
          </w:p>
        </w:tc>
        <w:tc>
          <w:tcPr>
            <w:tcW w:w="1000" w:type="pct"/>
            <w:tcBorders>
              <w:top w:val="nil"/>
              <w:left w:val="nil"/>
              <w:right w:val="nil"/>
            </w:tcBorders>
            <w:vAlign w:val="center"/>
          </w:tcPr>
          <w:p w14:paraId="49A0F1A9"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Oleanolic Acid</w:t>
            </w:r>
          </w:p>
        </w:tc>
        <w:tc>
          <w:tcPr>
            <w:tcW w:w="1000" w:type="pct"/>
            <w:tcBorders>
              <w:top w:val="nil"/>
              <w:left w:val="nil"/>
              <w:right w:val="nil"/>
            </w:tcBorders>
            <w:vAlign w:val="center"/>
          </w:tcPr>
          <w:p w14:paraId="3E63B969"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-15.992</w:t>
            </w:r>
          </w:p>
        </w:tc>
        <w:tc>
          <w:tcPr>
            <w:tcW w:w="1000" w:type="pct"/>
            <w:tcBorders>
              <w:top w:val="nil"/>
              <w:left w:val="nil"/>
              <w:right w:val="nil"/>
            </w:tcBorders>
            <w:vAlign w:val="center"/>
          </w:tcPr>
          <w:p w14:paraId="12CCC2E5"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-7.163</w:t>
            </w:r>
          </w:p>
        </w:tc>
        <w:tc>
          <w:tcPr>
            <w:tcW w:w="1000" w:type="pct"/>
            <w:tcBorders>
              <w:top w:val="nil"/>
              <w:left w:val="nil"/>
              <w:right w:val="nil"/>
            </w:tcBorders>
            <w:vAlign w:val="center"/>
          </w:tcPr>
          <w:p w14:paraId="545D852F" w14:textId="77777777" w:rsidR="00F12626" w:rsidRPr="007E5190" w:rsidRDefault="00F12626" w:rsidP="0075430E">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67.378</w:t>
            </w:r>
          </w:p>
        </w:tc>
      </w:tr>
    </w:tbl>
    <w:p w14:paraId="4C39980A" w14:textId="77777777" w:rsidR="005D3BF4" w:rsidRPr="007E5190" w:rsidRDefault="002727A4" w:rsidP="005D3BF4">
      <w:pPr>
        <w:pStyle w:val="Heading2"/>
        <w:rPr>
          <w:rFonts w:cs="Times New Roman"/>
        </w:rPr>
      </w:pPr>
      <w:r w:rsidRPr="007E5190">
        <w:rPr>
          <w:rFonts w:cs="Times New Roman"/>
        </w:rPr>
        <w:t>Validation of the docking protocol</w:t>
      </w:r>
    </w:p>
    <w:p w14:paraId="25852B3D" w14:textId="7EB03801" w:rsidR="005B5805" w:rsidRPr="007E5190" w:rsidRDefault="005B5805"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Validation of the docking protocol was performed by assessing the convergence of binding modes. Since the target structure (PDB: 1H6U) is an apo-protein lacking a co-crystallized ligand, a standard redocking validation (RMSD calculation relative to a crystal pose) was not applicable. Instead, the robustness of the protocol was validated by comparing the results of blind docking (covering the entire protein surface) with focused docking (local search). For each lead compound, both protocols consistently converged on the same specific binding cavity. Furthermore, the validity of the generated poses was rigorously confirmed via 125 ns molecular dynamics simulations. The Minimum Distance analysis confirmed that the docked poses were stable and maintained secure positioning within their respective active sites throughout the simulation </w:t>
      </w:r>
      <w:r w:rsidRPr="007E5190">
        <w:rPr>
          <w:rFonts w:ascii="Times New Roman" w:hAnsi="Times New Roman" w:cs="Times New Roman"/>
        </w:rPr>
        <w:t>(</w:t>
      </w:r>
      <w:r w:rsidRPr="007E5190">
        <w:rPr>
          <w:rFonts w:ascii="Times New Roman" w:hAnsi="Times New Roman" w:cs="Times New Roman"/>
          <w:i/>
          <w:color w:val="4472C4" w:themeColor="accent1"/>
        </w:rPr>
        <w:fldChar w:fldCharType="begin"/>
      </w:r>
      <w:r w:rsidRPr="007E5190">
        <w:rPr>
          <w:rFonts w:ascii="Times New Roman" w:hAnsi="Times New Roman" w:cs="Times New Roman"/>
          <w:color w:val="4472C4" w:themeColor="accent1"/>
        </w:rPr>
        <w:instrText xml:space="preserve"> REF _Ref213081537 \h </w:instrText>
      </w:r>
      <w:r w:rsidR="008D335A" w:rsidRPr="007E5190">
        <w:rPr>
          <w:rFonts w:ascii="Times New Roman" w:hAnsi="Times New Roman" w:cs="Times New Roman"/>
          <w:i/>
          <w:color w:val="4472C4" w:themeColor="accent1"/>
        </w:rPr>
        <w:instrText xml:space="preserve"> \* MERGEFORMAT </w:instrText>
      </w:r>
      <w:r w:rsidRPr="007E5190">
        <w:rPr>
          <w:rFonts w:ascii="Times New Roman" w:hAnsi="Times New Roman" w:cs="Times New Roman"/>
          <w:i/>
          <w:color w:val="4472C4" w:themeColor="accent1"/>
        </w:rPr>
      </w:r>
      <w:r w:rsidRPr="007E5190">
        <w:rPr>
          <w:rFonts w:ascii="Times New Roman" w:hAnsi="Times New Roman" w:cs="Times New Roman"/>
          <w:i/>
          <w:color w:val="4472C4" w:themeColor="accent1"/>
        </w:rPr>
        <w:fldChar w:fldCharType="separate"/>
      </w:r>
      <w:r w:rsidRPr="007E5190">
        <w:rPr>
          <w:rFonts w:ascii="Times New Roman" w:hAnsi="Times New Roman" w:cs="Times New Roman"/>
          <w:color w:val="4472C4" w:themeColor="accent1"/>
          <w:szCs w:val="20"/>
        </w:rPr>
        <w:t xml:space="preserve">Figure </w:t>
      </w:r>
      <w:r w:rsidRPr="007E5190">
        <w:rPr>
          <w:rFonts w:ascii="Times New Roman" w:hAnsi="Times New Roman" w:cs="Times New Roman"/>
          <w:noProof/>
          <w:color w:val="4472C4" w:themeColor="accent1"/>
          <w:szCs w:val="20"/>
        </w:rPr>
        <w:t>9</w:t>
      </w:r>
      <w:r w:rsidRPr="007E5190">
        <w:rPr>
          <w:rFonts w:ascii="Times New Roman" w:hAnsi="Times New Roman" w:cs="Times New Roman"/>
          <w:i/>
          <w:color w:val="4472C4" w:themeColor="accent1"/>
        </w:rPr>
        <w:fldChar w:fldCharType="end"/>
      </w:r>
      <w:r w:rsidRPr="007E5190">
        <w:rPr>
          <w:rFonts w:ascii="Times New Roman" w:hAnsi="Times New Roman" w:cs="Times New Roman"/>
        </w:rPr>
        <w:t>)</w:t>
      </w:r>
      <w:r w:rsidRPr="007E5190">
        <w:rPr>
          <w:rFonts w:ascii="Times New Roman" w:hAnsi="Times New Roman" w:cs="Times New Roman"/>
          <w:i/>
        </w:rPr>
        <w:t xml:space="preserve">, </w:t>
      </w:r>
      <w:r w:rsidRPr="007E5190">
        <w:rPr>
          <w:rFonts w:ascii="Times New Roman" w:hAnsi="Times New Roman" w:cs="Times New Roman"/>
          <w:color w:val="0D0D0D" w:themeColor="text1" w:themeTint="F2"/>
        </w:rPr>
        <w:t>validating the predictive accuracy of the docking protocol.</w:t>
      </w:r>
    </w:p>
    <w:p w14:paraId="3E9B1519" w14:textId="77777777" w:rsidR="005B5805" w:rsidRPr="007E5190" w:rsidRDefault="005B5805" w:rsidP="005B5805">
      <w:pPr>
        <w:pStyle w:val="Heading2"/>
        <w:rPr>
          <w:rFonts w:cs="Times New Roman"/>
        </w:rPr>
      </w:pPr>
      <w:r w:rsidRPr="007E5190">
        <w:rPr>
          <w:rFonts w:cs="Times New Roman"/>
        </w:rPr>
        <w:t>Binding Mode Visualization</w:t>
      </w:r>
    </w:p>
    <w:p w14:paraId="1228B67C" w14:textId="0F6EB793"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To elucidate the molecular basis of binding, the protein-ligand interactions of the top-ranked compounds were analyzed. 3D structural visualizations were rendered using The </w:t>
      </w:r>
      <w:proofErr w:type="spellStart"/>
      <w:r w:rsidRPr="007E5190">
        <w:rPr>
          <w:rFonts w:ascii="Times New Roman" w:hAnsi="Times New Roman" w:cs="Times New Roman"/>
          <w:color w:val="0D0D0D" w:themeColor="text1" w:themeTint="F2"/>
        </w:rPr>
        <w:t>PyMOL</w:t>
      </w:r>
      <w:proofErr w:type="spellEnd"/>
      <w:r w:rsidRPr="007E5190">
        <w:rPr>
          <w:rFonts w:ascii="Times New Roman" w:hAnsi="Times New Roman" w:cs="Times New Roman"/>
          <w:color w:val="0D0D0D" w:themeColor="text1" w:themeTint="F2"/>
        </w:rPr>
        <w:t xml:space="preserve"> Molecular Graphics System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{"citationID":"yyeuaC8n","properties":{"formattedCitation":"[29]","plainCitation":"[29]","noteIndex":0},"citationItems":[{"id":187,"uris":["http://zotero.org/users/local/GoHQ98fS/items/9PGEZM3A"],"itemData":{"id":187,"type":"software","event-place":"New York, NY","publisher":"Schrödinger, LLC","publisher-place":"New York, NY","title":"The PyMOL Molecular Graphics System","URL":"http://www.pymol.org","version":"2.5","author":[{"literal":"Schrödinger, LLC"}],"issued":{"date-parts":[["2021"]]}}}],"schema":"https://github.com/citation-style-language/schema/raw/master/csl-citation.json"}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[29]</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2D diagrams detailing the specific hydrogen bonds, hydrophobic contacts, and </w:t>
      </w:r>
      <m:oMath>
        <m:r>
          <w:rPr>
            <w:rFonts w:ascii="Cambria Math" w:hAnsi="Cambria Math" w:cs="Times New Roman"/>
            <w:color w:val="0D0D0D" w:themeColor="text1" w:themeTint="F2"/>
          </w:rPr>
          <m:t>π</m:t>
        </m:r>
      </m:oMath>
      <w:r w:rsidRPr="007E5190">
        <w:rPr>
          <w:rFonts w:ascii="Times New Roman" w:hAnsi="Times New Roman" w:cs="Times New Roman"/>
          <w:color w:val="0D0D0D" w:themeColor="text1" w:themeTint="F2"/>
        </w:rPr>
        <w:t>-interactions were generated using the Protein-Ligand Interaction Profiler (PLIP) [30] web server.</w:t>
      </w:r>
    </w:p>
    <w:p w14:paraId="3EED6A0B" w14:textId="77777777" w:rsidR="00F12626" w:rsidRPr="007E5190" w:rsidRDefault="00F12626" w:rsidP="00DD06FA">
      <w:pPr>
        <w:pStyle w:val="Heading2"/>
        <w:rPr>
          <w:rFonts w:cs="Times New Roman"/>
        </w:rPr>
      </w:pPr>
      <w:r w:rsidRPr="007E5190">
        <w:rPr>
          <w:rFonts w:cs="Times New Roman"/>
        </w:rPr>
        <w:t>In Silico ADMET Profiling</w:t>
      </w:r>
    </w:p>
    <w:p w14:paraId="350A0E46" w14:textId="29FF7166" w:rsidR="00F12626" w:rsidRPr="007E5190" w:rsidRDefault="007C2F1B"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To assess the "drug-likeness" of the top Vina hits, the </w:t>
      </w:r>
      <w:r w:rsidRPr="007E5190">
        <w:rPr>
          <w:rFonts w:ascii="Times New Roman" w:hAnsi="Times New Roman" w:cs="Times New Roman"/>
          <w:i/>
          <w:iCs/>
          <w:color w:val="0D0D0D" w:themeColor="text1" w:themeTint="F2"/>
        </w:rPr>
        <w:t>in silico</w:t>
      </w:r>
      <w:r w:rsidRPr="007E5190">
        <w:rPr>
          <w:rFonts w:ascii="Times New Roman" w:hAnsi="Times New Roman" w:cs="Times New Roman"/>
          <w:color w:val="0D0D0D" w:themeColor="text1" w:themeTint="F2"/>
        </w:rPr>
        <w:t xml:space="preserve"> pharmacokinetic profiling was performed. The canonical SMILES strings for the lead compounds were submitted to the </w:t>
      </w:r>
      <w:proofErr w:type="spellStart"/>
      <w:r w:rsidRPr="007E5190">
        <w:rPr>
          <w:rFonts w:ascii="Times New Roman" w:hAnsi="Times New Roman" w:cs="Times New Roman"/>
          <w:color w:val="0D0D0D" w:themeColor="text1" w:themeTint="F2"/>
        </w:rPr>
        <w:t>SwissADME</w:t>
      </w:r>
      <w:proofErr w:type="spellEnd"/>
      <w:r w:rsidRPr="007E5190">
        <w:rPr>
          <w:rFonts w:ascii="Times New Roman" w:hAnsi="Times New Roman" w:cs="Times New Roman"/>
          <w:color w:val="0D0D0D" w:themeColor="text1" w:themeTint="F2"/>
        </w:rPr>
        <w:t xml:space="preserve"> web server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{"citationID":"nKRc7wua","properties":{"formattedCitation":"[31]","plainCitation":"[31]","noteIndex":0},"citationItems":[{"id":10,"uris":["http://zotero.org/users/local/GoHQ98fS/items/PAB68BK8"],"itemData":{"id":10,"type":"article-journal","abstract":"Abstract\n            \n              To be effective as a drug, a potent molecule must reach its target in the body in sufficient concentration, and stay there in a bioactive form long enough for the expected biologic events to occur. Drug development involves assessment of absorption, distribution, metabolism and excretion (ADME) increasingly earlier in the discovery process, at a stage when considered compounds are numerous but access to the physical samples is limited. In that context, computer models constitute valid alternatives to experiments. Here, we present the new SwissADME web tool that gives free access to a pool of fast yet robust predictive models for physicochemical properties, pharmacokinetics, drug-likeness and medicinal chemistry friendliness, among which in-house proficient methods such as the BOILED-Egg, iLOGP and Bioavailability Radar. Easy efficient input and interpretation are ensured thanks to a user-friendly interface through the login-free website\n              http://www.swissadme.ch\n              . Specialists, but also nonexpert in cheminformatics or computational chemistry can predict rapidly key parameters for a collection of molecules to support their drug discovery endeavours.","container-title":"Scientific Reports","DOI":"10.1038/srep42717","ISSN":"2045-2322","issue":"1","journalAbbreviation":"Sci Rep","language":"en","page":"42717","source":"DOI.org (Crossref)","title":"SwissADME: a free web tool to evaluate pharmacokinetics, drug-likeness and medicinal chemistry friendliness of small molecules","title-short":"SwissADME","URL":"https://www.nature.com/articles/srep42717","volume":"7","author":[{"family":"Daina","given":"Antoine"},{"family":"Michielin","given":"Olivier"},{"family":"Zoete","given":"Vincent"}],"accessed":{"date-parts":[["2025",9,9]]},"issued":{"date-parts":[["2017",3,3]]}}}],"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[31]</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This analysis predicted key ADMET parameters, including high gastrointestinal (GI) absorption, blood-brain barrier (BBB) penetration, potential as a P-glycoprotein (P-</w:t>
      </w:r>
      <w:proofErr w:type="spellStart"/>
      <w:r w:rsidR="00F12626" w:rsidRPr="007E5190">
        <w:rPr>
          <w:rFonts w:ascii="Times New Roman" w:hAnsi="Times New Roman" w:cs="Times New Roman"/>
          <w:color w:val="0D0D0D" w:themeColor="text1" w:themeTint="F2"/>
        </w:rPr>
        <w:t>gp</w:t>
      </w:r>
      <w:proofErr w:type="spellEnd"/>
      <w:r w:rsidR="00F12626" w:rsidRPr="007E5190">
        <w:rPr>
          <w:rFonts w:ascii="Times New Roman" w:hAnsi="Times New Roman" w:cs="Times New Roman"/>
          <w:color w:val="0D0D0D" w:themeColor="text1" w:themeTint="F2"/>
        </w:rPr>
        <w:t>) substrate, and overall drug-likeness.</w:t>
      </w:r>
    </w:p>
    <w:p w14:paraId="5DD26AF2" w14:textId="77777777" w:rsidR="00F12626" w:rsidRPr="007E5190" w:rsidRDefault="00F12626" w:rsidP="00DD06FA">
      <w:pPr>
        <w:pStyle w:val="Heading2"/>
        <w:rPr>
          <w:rFonts w:cs="Times New Roman"/>
        </w:rPr>
      </w:pPr>
      <w:r w:rsidRPr="007E5190">
        <w:rPr>
          <w:rFonts w:cs="Times New Roman"/>
        </w:rPr>
        <w:lastRenderedPageBreak/>
        <w:t>Molecular Dynamics (MD) Simulations</w:t>
      </w:r>
    </w:p>
    <w:p w14:paraId="5FAC7670" w14:textId="6C62D5FD" w:rsidR="00F12626" w:rsidRPr="007E5190" w:rsidRDefault="00F12626" w:rsidP="00DD06FA">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To validate the stability of the docked poses and to understand the dynamic behavior of the protein-ligand complexes, all-atom MD simulations </w:t>
      </w:r>
      <w:r w:rsidR="007C2F1B" w:rsidRPr="007E5190">
        <w:rPr>
          <w:rFonts w:ascii="Times New Roman" w:hAnsi="Times New Roman" w:cs="Times New Roman"/>
          <w:color w:val="0D0D0D" w:themeColor="text1" w:themeTint="F2"/>
        </w:rPr>
        <w:t>were</w:t>
      </w:r>
      <w:r w:rsidRPr="007E5190">
        <w:rPr>
          <w:rFonts w:ascii="Times New Roman" w:hAnsi="Times New Roman" w:cs="Times New Roman"/>
          <w:color w:val="0D0D0D" w:themeColor="text1" w:themeTint="F2"/>
        </w:rPr>
        <w:t xml:space="preserve"> performed for the top three lead analogues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Hederagenin, and Lupeol analogues) and positive control (Oleanolic Acid). All simulations were conducted using the GROMACS 2025.3 software package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xJNbylPF","properties":{"formattedCitation":"[38]","plainCitation":"[38]","noteIndex":0},"citationItems":[{"id":200,"uris":["http://zotero.org/users/local/GoHQ98fS/items/IZJ9W47D"],"itemData":{"id":200,"type":"article-journal","container-title":"SoftwareX","DOI":"10.1016/j.softx.2015.06.001","ISSN":"23527110","journalAbbreviation":"SoftwareX","language":"en","page":"19-25","source":"DOI.org (Crossref)","title":"GROMACS: High performance molecular simulations through multi-level parallelism from laptops to supercomputers","title-short":"GROMACS","URL":"https://linkinghub.elsevier.com/retrieve/pii/S2352711015000059","volume":"1-2","author":[{"family":"Abraham","given":"Mark James"},{"family":"Murtola","given":"Teemu"},{"family":"Schulz","given":"Roland"},{"family":"Páll","given":"Szilárd"},{"family":"Smith","given":"Jeremy C."},{"family":"Hess","given":"Berk"},{"family":"Lindahl","given":"Erik"}],"accessed":{"date-parts":[["2025",11,2]]},"issued":{"date-parts":[["2015",9]]}}}],"schema":"https://github.com/citation-style-language/schema/raw/master/csl-citation.json"}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[38]</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A dual-topology approach was used, employing the AMBER99SB-ILDN force field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{"citationID":"nq2uCCzZ","properties":{"formattedCitation":"[39]","plainCitation":"[39]","noteIndex":0},"citationItems":[{"id":201,"uris":["http://zotero.org/users/local/GoHQ98fS/items/DNTQ3PJZ"],"itemData":{"id":201,"type":"article-journal","abstract":"Abstract\n            Recent advances in hardware and software have enabled increasingly long molecular dynamics (MD) simulations of biomolecules, exposing certain limitations in the accuracy of the force fields used for such simulations and spurring efforts to refine these force fields. Recent modifications to the Amber and CHARMM protein force fields, for example, have improved the backbone torsion potentials, remedying deficiencies in earlier versions. Here, we further advance simulation accuracy by improving the amino acid side‐chain torsion potentials of the Amber ff99SB force field. First, we used simulations of model alpha‐helical systems to identify the four residue types whose rotamer distribution differed the most from expectations based on Protein Data Bank statistics. Second, we optimized the side‐chain torsion potentials of these residues to match new, high‐level quantum‐mechanical calculations. Finally, we used microsecond‐timescale MD simulations in explicit solvent to validate the resulting force field against a large set of experimental NMR measurements that directly probe side‐chain conformations. The new force field, which we have termed Amber ff99SB‐ILDN, exhibits considerably better agreement with the NMR data. Proteins 2010. © 2010 Wiley‐Liss, Inc.","container-title":"Proteins: Structure, Function, and Bioinformatics","DOI":"10.1002/prot.22711","ISSN":"0887-3585, 1097-0134","issue":"8","journalAbbreviation":"Proteins","language":"en","license":"http://onlinelibrary.wiley.com/termsAndConditions#vor","page":"1950-1958","source":"DOI.org (Crossref)","title":"Improved side‐chain torsion potentials for the Amber ff99SB protein force field","URL":"https://onlinelibrary.wiley.com/doi/10.1002/prot.22711","volume":"78","author":[{"family":"Lindorff‐Larsen","given":"Kresten"},{"family":"Piana","given":"Stefano"},{"family":"Palmo","given":"Kim"},{"family":"Maragakis","given":"Paul"},{"family":"Klepeis","given":"John L."},{"family":"Dror","given":"Ron O."},{"family":"Shaw","given":"David E."}],"accessed":{"date-parts":[["2025",11,2]]},"issued":{"date-parts":[["2010",6]]}}}],"schema":"https://github.com/citation-style-language/schema/raw/master/csl-citation.json"}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[39]</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for the protein and the General Amber Force Field (GAFF)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{"citationID":"xpe2reCP","properties":{"formattedCitation":"[40]","plainCitation":"[40]","noteIndex":0},"citationItems":[{"id":203,"uris":["http://zotero.org/users/local/GoHQ98fS/items/HQWTABRQ"],"itemData":{"id":203,"type":"article-journal","abstract":"Abstract\n            We describe here a general Amber force field (GAFF) for organic molecules. GAFF is designed to be compatible with existing Amber force fields for proteins and nucleic acids, and has parameters for most organic and pharmaceutical molecules that are composed of H, C, N, O, S, P, and halogens. It uses a simple functional form and a limited number of atom types, but incorporates both empirical and heuristic models to estimate force constants and partial atomic charges. The performance of GAFF in test cases is encouraging. In test I, 74 crystallographic structures were compared to GAFF minimized structures, with a root‐mean‐square displacement of 0.26 Å, which is comparable to that of the Tripos 5.2 force field (0.25 Å) and better than those of MMFF 94 and CHARMm (0.47 and 0.44 Å, respectively). In test II, gas phase minimizations were performed on 22 nucleic acid base pairs, and the minimized structures and intermolecular energies were compared to MP2/6‐31G* results. The RMS of displacements and relative energies were 0.25 Å and 1.2 kcal/mol, respectively. These data are comparable to results from Parm99/RESP (0.16 Å and 1.18 kcal/mol, respectively), which were parameterized to these base pairs. Test III looked at the relative energies of 71 conformational pairs that were used in development of the Parm99 force field. The RMS error in relative energies (compared to experiment) is about 0.5 kcal/mol. GAFF can be applied to wide range of molecules in an automatic fashion, making it suitable for rational drug design and database searching. © 2004 Wiley Periodicals, Inc. J Comput Chem 25: 1157–1174, 2004","container-title":"Journal of Computational Chemistry","DOI":"10.1002/jcc.20035","ISSN":"0192-8651, 1096-987X","issue":"9","journalAbbreviation":"J Comput Chem","language":"en","license":"http://onlinelibrary.wiley.com/termsAndConditions#vor","page":"1157-1174","source":"DOI.org (Crossref)","title":"Development and testing of a general amber force field","URL":"https://onlinelibrary.wiley.com/doi/10.1002/jcc.20035","volume":"25","author":[{"family":"Wang","given":"Junmei"},{"family":"Wolf","given":"Romain M."},{"family":"Caldwell","given":"James W."},{"family":"Kollman","given":"Peter A."},{"family":"Case","given":"David A."}],"accessed":{"date-parts":[["2025",11,2]]},"issued":{"date-parts":[["2004",7,15]]}}}],"schema":"https://github.com/citation-style-language/schema/raw/master/csl-citation.json"}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[40]</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for the ligands. The protein topology was generated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pdb2gmx, selecting the AMBER99SB-ILDN force field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{"citationID":"dMmW554o","properties":{"formattedCitation":"[39]","plainCitation":"[39]","noteIndex":0},"citationItems":[{"id":201,"uris":["http://zotero.org/users/local/GoHQ98fS/items/DNTQ3PJZ"],"itemData":{"id":201,"type":"article-journal","abstract":"Abstract\n            Recent advances in hardware and software have enabled increasingly long molecular dynamics (MD) simulations of biomolecules, exposing certain limitations in the accuracy of the force fields used for such simulations and spurring efforts to refine these force fields. Recent modifications to the Amber and CHARMM protein force fields, for example, have improved the backbone torsion potentials, remedying deficiencies in earlier versions. Here, we further advance simulation accuracy by improving the amino acid side‐chain torsion potentials of the Amber ff99SB force field. First, we used simulations of model alpha‐helical systems to identify the four residue types whose rotamer distribution differed the most from expectations based on Protein Data Bank statistics. Second, we optimized the side‐chain torsion potentials of these residues to match new, high‐level quantum‐mechanical calculations. Finally, we used microsecond‐timescale MD simulations in explicit solvent to validate the resulting force field against a large set of experimental NMR measurements that directly probe side‐chain conformations. The new force field, which we have termed Amber ff99SB‐ILDN, exhibits considerably better agreement with the NMR data. Proteins 2010. © 2010 Wiley‐Liss, Inc.","container-title":"Proteins: Structure, Function, and Bioinformatics","DOI":"10.1002/prot.22711","ISSN":"0887-3585, 1097-0134","issue":"8","journalAbbreviation":"Proteins","language":"en","license":"http://onlinelibrary.wiley.com/termsAndConditions#vor","page":"1950-1958","source":"DOI.org (Crossref)","title":"Improved side‐chain torsion potentials for the Amber ff99SB protein force field","URL":"https://onlinelibrary.wiley.com/doi/10.1002/prot.22711","volume":"78","author":[{"family":"Lindorff‐Larsen","given":"Kresten"},{"family":"Piana","given":"Stefano"},{"family":"Palmo","given":"Kim"},{"family":"Maragakis","given":"Paul"},{"family":"Klepeis","given":"John L."},{"family":"Dror","given":"Ron O."},{"family":"Shaw","given":"David E."}],"accessed":{"date-parts":[["2025",11,2]]},"issued":{"date-parts":[["2010",6]]}}}],"schema":"https://github.com/citation-style-language/schema/raw/master/csl-citation.json"}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[39]</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and the TIP3P water model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{"citationID":"6C7x3VxG","properties":{"formattedCitation":"[41]","plainCitation":"[41]","noteIndex":0},"citationItems":[{"id":204,"uris":["http://zotero.org/users/local/GoHQ98fS/items/K6KVC8MZ"],"itemData":{"id":204,"type":"article-journal","abstract":"Classical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 1089-7690","issue":"2","language":"en","page":"926-935","source":"DOI.org (Crossref)","title":"Comparison of simple potential functions for simulating liquid water","URL":"https://pubs.aip.org/jcp/article/79/2/926/776316/Comparison-of-simple-potential-functions-for","volume":"79","author":[{"family":"Jorgensen","given":"William L."},{"family":"Chandrasekhar","given":"Jayaraman"},{"family":"Madura","given":"Jeffry D."},{"family":"Impey","given":"Roger W."},{"family":"Klein","given":"Michael L."}],"accessed":{"date-parts":[["2025",11,2]]},"issued":{"date-parts":[["1983",7,15]]}}}],"schema":"https://github.com/citation-style-language/schema/raw/master/csl-citation.json"}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[41]</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Ligand parameters were generated using the Antechamber and </w:t>
      </w:r>
      <w:proofErr w:type="spellStart"/>
      <w:r w:rsidRPr="007E5190">
        <w:rPr>
          <w:rFonts w:ascii="Times New Roman" w:hAnsi="Times New Roman" w:cs="Times New Roman"/>
          <w:color w:val="0D0D0D" w:themeColor="text1" w:themeTint="F2"/>
        </w:rPr>
        <w:t>acpype</w:t>
      </w:r>
      <w:proofErr w:type="spellEnd"/>
      <w:r w:rsidRPr="007E5190">
        <w:rPr>
          <w:rFonts w:ascii="Times New Roman" w:hAnsi="Times New Roman" w:cs="Times New Roman"/>
          <w:color w:val="0D0D0D" w:themeColor="text1" w:themeTint="F2"/>
        </w:rPr>
        <w:t xml:space="preserve"> workflow. antechamber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{"citationID":"9N0bNMCv","properties":{"formattedCitation":"[42]","plainCitation":"[42]","noteIndex":0},"citationItems":[{"id":205,"uris":["http://zotero.org/users/local/GoHQ98fS/items/XV2XYEKN"],"itemData":{"id":205,"type":"article-journal","container-title":"Journal of Molecular Graphics and Modelling","DOI":"10.1016/j.jmgm.2005.12.005","ISSN":"10933263","issue":"2","journalAbbreviation":"Journal of Molecular Graphics and Modelling","language":"en","page":"247-260","source":"DOI.org (Crossref)","title":"Automatic atom type and bond type perception in molecular mechanical calculations","URL":"https://linkinghub.elsevier.com/retrieve/pii/S1093326305001737","volume":"25","author":[{"family":"Wang","given":"Junmei"},{"family":"Wang","given":"Wei"},{"family":"Kollman","given":"Peter A."},{"family":"Case","given":"David A."}],"accessed":{"date-parts":[["2025",11,2]]},"issued":{"date-parts":[["2006",10]]}}}],"schema":"https://github.com/citation-style-language/schema/raw/master/csl-citation.json"}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[42]</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was used to calculate AM1-BCC charges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{"citationID":"p54HCGUc","properties":{"formattedCitation":"[43]","plainCitation":"[43]","noteIndex":0},"citationItems":[{"id":210,"uris":["http://zotero.org/users/local/GoHQ98fS/items/MMYBBMFI"],"itemData":{"id":210,"type":"article-journal","abstract":"Abstract The AM1-BCC method quickly and efficiently generates high-quality atomic charges for use in condensed-phase simulations. The underlying features of the electron distribution including formal charge and delocalization are first captured by AM1 atomic charges for the individual molecule. Bond charge corrections (BCCs), which have been parameterized against the HF/6-31G* electrostatic potential (ESP) of a training set of compounds containing relevant functional groups, are then added using a formalism identical to the consensus BCI (bond charge increment) approach. As a proof of the concept, we fit BCCs simultaneously to 45 compounds including O-, N-, and S-containing functionalities, aromatics, and heteroaromatics, using only 41 BCC parameters. AM1-BCC yields charge sets of comparable quality to HF/6-31G* ESP-derived charges in a fraction of the time while reducing instabilities in the atomic charges compared to direct ESP-fit methods. We then apply the BCC parameters to a small “test set” consisting of aspirin, d-glucose, and eryodictyol; the AM1-BCC model again provides atomic charges of quality comparable with HF/6-31G* RESP charges, as judged by an increase of only 0.01 to 0.02 atomic units in the root-mean-square (RMS) error in ESP. Based on these encouraging results, we intend to parameterize the AM1-BCC model to provide a consistent charge model for any organic or biological molecule. © 2000 John Wiley &amp; Sons, Inc. J Comput Chem 21: 132–146, 2000","container-title":"Journal of Computational Chemistry","DOI":"https://doi.org/10.1002/(SICI)1096-987X(20000130)21:2&lt;132::AID-JCC5&gt;3.0.CO;2-P","issue":"2","note":"_eprint: https://onlinelibrary.wiley.com/doi/pdf/10.1002/%28SICI%291096-987X%2820000130%2921%3A2%3C132%3A%3AAID-JCC5%3E3.0.CO%3B2-P","page":"132-146","title":"Fast, efficient generation of high-quality atomic charges. AM1-BCC model: I. Method","URL":"https://onlinelibrary.wiley.com/doi/abs/10.1002/%28SICI%291096-987X%2820000130%2921%3A2%3C132%3A%3AAID-JCC5%3E3.0.CO%3B2-P","volume":"21","author":[{"family":"Jakalian","given":"Araz"},{"family":"Bush","given":"Bruce L."},{"family":"Jack","given":"David B."},{"family":"Bayly","given":"Christopher I."}],"issued":{"date-parts":[["2000"]]}}}],"schema":"https://github.com/citation-style-language/schema/raw/master/csl-citation.json"}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[43]</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and </w:t>
      </w:r>
      <w:proofErr w:type="spellStart"/>
      <w:r w:rsidRPr="007E5190">
        <w:rPr>
          <w:rFonts w:ascii="Times New Roman" w:hAnsi="Times New Roman" w:cs="Times New Roman"/>
          <w:color w:val="0D0D0D" w:themeColor="text1" w:themeTint="F2"/>
        </w:rPr>
        <w:t>acpype</w:t>
      </w:r>
      <w:proofErr w:type="spellEnd"/>
      <w:r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{"citationID":"c4Dg4b1D","properties":{"formattedCitation":"[44]","plainCitation":"[44]","noteIndex":0},"citationItems":[{"id":214,"uris":["http://zotero.org/users/local/GoHQ98fS/items/N3RSWXCY"],"itemData":{"id":214,"type":"article-journal","abstract":"Abstract\n            \n              Background\n              \n                ACPYPE (or AnteChamber PYthon Parser interfacE) is a wrapper script around the ANTECHAMBER software that simplifies the generation of small molecule topologies and parameters for a variety of molecular dynamics programmes like GROMACS, CHARMM and CNS. It is written in the Python programming language and was developed as a tool for interfacing with other Python based applications such as the CCPN software suite (for NMR data analysis) and ARIA (for structure calculations from NMR data). ACPYPE is open source code, under GNU GPL v3, and is available as a stand-alone application at\n                http://www.ccpn.ac.uk/acpype\n                and as a web portal application at\n                http://webapps.ccpn.ac.uk/acpype\n                .\n              \n            \n            \n              Findings\n              We verified the topologies generated by ACPYPE in three ways: by comparing with default AMBER topologies for standard amino acids; by generating and verifying topologies for a large set of ligands from the PDB; and by recalculating the structures for 5 protein–ligand complexes from the PDB.\n            \n            \n              Conclusions\n              \n                ACPYPE is a tool that simplifies the automatic generation of topology and parameters in\n                different formats\n                for\n                different\n                molecular mechanics programmes, including\n                calculation of partial charges\n                , while being\n                object oriented\n                for integration with other applications.","container-title":"BMC Research Notes","DOI":"10.1186/1756-0500-5-367","ISSN":"1756-0500","issue":"1","journalAbbreviation":"BMC Res Notes","language":"en","page":"367","source":"DOI.org (Crossref)","title":"ACPYPE - AnteChamber PYthon Parser interfacE","URL":"https://bmcresnotes.biomedcentral.com/articles/10.1186/1756-0500-5-367","volume":"5","author":[{"family":"Sousa Da Silva","given":"Alan W"},{"family":"Vranken","given":"Wim F"}],"accessed":{"date-parts":[["2025",11,2]]},"issued":{"date-parts":[["2012",12]]}}}],"schema":"https://github.com/citation-style-language/schema/raw/master/csl-citation.json"}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[44]</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was used to convert the AMBER-formatted topologies into GROMACS-compatible .</w:t>
      </w:r>
      <w:proofErr w:type="spellStart"/>
      <w:r w:rsidRPr="007E5190">
        <w:rPr>
          <w:rFonts w:ascii="Times New Roman" w:hAnsi="Times New Roman" w:cs="Times New Roman"/>
          <w:color w:val="0D0D0D" w:themeColor="text1" w:themeTint="F2"/>
        </w:rPr>
        <w:t>itp</w:t>
      </w:r>
      <w:proofErr w:type="spellEnd"/>
      <w:r w:rsidRPr="007E5190">
        <w:rPr>
          <w:rFonts w:ascii="Times New Roman" w:hAnsi="Times New Roman" w:cs="Times New Roman"/>
          <w:color w:val="0D0D0D" w:themeColor="text1" w:themeTint="F2"/>
        </w:rPr>
        <w:t xml:space="preserve"> files. For each of the four systems, the complex was centered in a triclinic simulation box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editconf</w:t>
      </w:r>
      <w:proofErr w:type="spellEnd"/>
      <w:r w:rsidRPr="007E5190">
        <w:rPr>
          <w:rFonts w:ascii="Times New Roman" w:hAnsi="Times New Roman" w:cs="Times New Roman"/>
          <w:color w:val="0D0D0D" w:themeColor="text1" w:themeTint="F2"/>
        </w:rPr>
        <w:t xml:space="preserve"> (1.0 nm margin) and solvated with TIP3P water molecules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solvate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{"citationID":"V0KHgv37","properties":{"formattedCitation":"[41]","plainCitation":"[41]","noteIndex":0},"citationItems":[{"id":204,"uris":["http://zotero.org/users/local/GoHQ98fS/items/K6KVC8MZ"],"itemData":{"id":204,"type":"article-journal","abstract":"Classical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 1089-7690","issue":"2","language":"en","page":"926-935","source":"DOI.org (Crossref)","title":"Comparison of simple potential functions for simulating liquid water","URL":"https://pubs.aip.org/jcp/article/79/2/926/776316/Comparison-of-simple-potential-functions-for","volume":"79","author":[{"family":"Jorgensen","given":"William L."},{"family":"Chandrasekhar","given":"Jayaraman"},{"family":"Madura","given":"Jeffry D."},{"family":"Impey","given":"Roger W."},{"family":"Klein","given":"Michael L."}],"accessed":{"date-parts":[["2025",11,2]]},"issued":{"date-parts":[["1983",7,15]]}}}],"schema":"https://github.com/citation-style-language/schema/raw/master/csl-citation.json"}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[41]</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The systems were then neutralized by adding Na</w:t>
      </w:r>
      <w:r w:rsidRPr="007E5190">
        <w:rPr>
          <w:rFonts w:ascii="Times New Roman" w:hAnsi="Times New Roman" w:cs="Times New Roman"/>
          <w:color w:val="0D0D0D" w:themeColor="text1" w:themeTint="F2"/>
          <w:vertAlign w:val="superscript"/>
        </w:rPr>
        <w:t>+</w:t>
      </w:r>
      <w:r w:rsidRPr="007E5190">
        <w:rPr>
          <w:rFonts w:ascii="Times New Roman" w:hAnsi="Times New Roman" w:cs="Times New Roman"/>
          <w:color w:val="0D0D0D" w:themeColor="text1" w:themeTint="F2"/>
        </w:rPr>
        <w:t xml:space="preserve"> and Cl</w:t>
      </w:r>
      <w:r w:rsidRPr="007E5190">
        <w:rPr>
          <w:rFonts w:ascii="Times New Roman" w:hAnsi="Times New Roman" w:cs="Times New Roman"/>
          <w:color w:val="0D0D0D" w:themeColor="text1" w:themeTint="F2"/>
          <w:vertAlign w:val="superscript"/>
        </w:rPr>
        <w:t>-</w:t>
      </w:r>
      <w:r w:rsidRPr="007E5190">
        <w:rPr>
          <w:rFonts w:ascii="Times New Roman" w:hAnsi="Times New Roman" w:cs="Times New Roman"/>
          <w:color w:val="0D0D0D" w:themeColor="text1" w:themeTint="F2"/>
        </w:rPr>
        <w:t xml:space="preserve"> counter-ions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genion</w:t>
      </w:r>
      <w:proofErr w:type="spellEnd"/>
      <w:r w:rsidRPr="007E5190">
        <w:rPr>
          <w:rFonts w:ascii="Times New Roman" w:hAnsi="Times New Roman" w:cs="Times New Roman"/>
          <w:color w:val="0D0D0D" w:themeColor="text1" w:themeTint="F2"/>
        </w:rPr>
        <w:t>. Each system was then subjected to a four-stage protocol: (</w:t>
      </w:r>
      <w:proofErr w:type="spellStart"/>
      <w:r w:rsidRPr="007E5190">
        <w:rPr>
          <w:rFonts w:ascii="Times New Roman" w:hAnsi="Times New Roman" w:cs="Times New Roman"/>
          <w:color w:val="0D0D0D" w:themeColor="text1" w:themeTint="F2"/>
        </w:rPr>
        <w:t>i</w:t>
      </w:r>
      <w:proofErr w:type="spellEnd"/>
      <w:r w:rsidRPr="007E5190">
        <w:rPr>
          <w:rFonts w:ascii="Times New Roman" w:hAnsi="Times New Roman" w:cs="Times New Roman"/>
          <w:color w:val="0D0D0D" w:themeColor="text1" w:themeTint="F2"/>
        </w:rPr>
        <w:t xml:space="preserve">) energy minimization using the steepest descent algorithm; (ii) a 1000 </w:t>
      </w:r>
      <w:proofErr w:type="spellStart"/>
      <w:r w:rsidRPr="007E5190">
        <w:rPr>
          <w:rFonts w:ascii="Times New Roman" w:hAnsi="Times New Roman" w:cs="Times New Roman"/>
          <w:color w:val="0D0D0D" w:themeColor="text1" w:themeTint="F2"/>
        </w:rPr>
        <w:t>ps</w:t>
      </w:r>
      <w:proofErr w:type="spellEnd"/>
      <w:r w:rsidRPr="007E5190">
        <w:rPr>
          <w:rFonts w:ascii="Times New Roman" w:hAnsi="Times New Roman" w:cs="Times New Roman"/>
          <w:color w:val="0D0D0D" w:themeColor="text1" w:themeTint="F2"/>
        </w:rPr>
        <w:t xml:space="preserve"> (1 ns) NVT (canonical) ensemble equilibration at 300 K using the V-rescale thermostat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{"citationID":"1cNJXHL5","properties":{"formattedCitation":"[45]","plainCitation":"[45]","noteIndex":0},"citationItems":[{"id":216,"uris":["http://zotero.org/users/local/GoHQ98fS/items/I7S7T5LG"],"itemData":{"id":216,"type":"article-journal","abstract":"The authors present a new molecular dynamics algorithm for sampling the canonical distribution. In this approach the velocities of all the particles are rescaled by a properly chosen random factor. The algorithm is formally justified and it is shown that, in spite of its stochastic nature, a quantity can still be defined that remains constant during the evolution. In numerical applications this quantity can be used to measure the accuracy of the sampling. The authors illustrate the properties of this new method on Lennard-Jones and TIP4P water models in the solid and liquid phases. Its performance is excellent and largely independent of the thermostat parameter also with regard to the dynamic properties.","container-title":"The Journal of Chemical Physics","DOI":"10.1063/1.2408420","ISSN":"0021-9606, 1089-7690","issue":"1","language":"en","page":"014101","source":"DOI.org (Crossref)","title":"Canonical sampling through velocity rescaling","URL":"https://pubs.aip.org/jcp/article/126/1/014101/186581/Canonical-sampling-through-velocity-rescaling","volume":"126","author":[{"family":"Bussi","given":"Giovanni"},{"family":"Donadio","given":"Davide"},{"family":"Parrinello","given":"Michele"}],"accessed":{"date-parts":[["2025",11,2]]},"issued":{"date-parts":[["2007",1,7]]}}}],"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[45]</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and (iii) a 1000 </w:t>
      </w:r>
      <w:proofErr w:type="spellStart"/>
      <w:r w:rsidRPr="007E5190">
        <w:rPr>
          <w:rFonts w:ascii="Times New Roman" w:hAnsi="Times New Roman" w:cs="Times New Roman"/>
          <w:color w:val="0D0D0D" w:themeColor="text1" w:themeTint="F2"/>
        </w:rPr>
        <w:t>ps</w:t>
      </w:r>
      <w:proofErr w:type="spellEnd"/>
      <w:r w:rsidRPr="007E5190">
        <w:rPr>
          <w:rFonts w:ascii="Times New Roman" w:hAnsi="Times New Roman" w:cs="Times New Roman"/>
          <w:color w:val="0D0D0D" w:themeColor="text1" w:themeTint="F2"/>
        </w:rPr>
        <w:t xml:space="preserve"> (1 ns) NPT (isothermal-isobaric) ensemble equilibration at 1 bar using the Berendsen </w:t>
      </w:r>
      <w:proofErr w:type="spellStart"/>
      <w:r w:rsidRPr="007E5190">
        <w:rPr>
          <w:rFonts w:ascii="Times New Roman" w:hAnsi="Times New Roman" w:cs="Times New Roman"/>
          <w:color w:val="0D0D0D" w:themeColor="text1" w:themeTint="F2"/>
        </w:rPr>
        <w:t>barostat</w:t>
      </w:r>
      <w:proofErr w:type="spellEnd"/>
      <w:r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{"citationID":"dZcR15Vh","properties":{"formattedCitation":"[46]","plainCitation":"[46]","noteIndex":0},"citationItems":[{"id":218,"uris":["http://zotero.org/users/local/GoHQ98fS/items/EEM68X2S"],"itemData":{"id":218,"type":"article-journal","abstract":"In molecular dynamics (MD) simulations the need often arises to maintain such parameters as temperature or pressure rather than energy and volume, or to impose gradients for studying transport properties in nonequilibrium MD. A method is described to realize coupling to an external bath with constant temperature or pressure with adjustable time constants for the coupling. The method is easily extendable to other variables and to gradients, and can be applied also to polyatomic molecules involving internal constraints. The influence of coupling time constants on dynamical variables is evaluated. A leap-frog algorithm is presented for the general case involving constraints with coupling to both a constant temperature and a constant pressure bath.","container-title":"The Journal of Chemical Physics","DOI":"10.1063/1.448118","ISSN":"0021-9606, 1089-7690","issue":"8","language":"en","page":"3684-3690","source":"DOI.org (Crossref)","title":"Molecular dynamics with coupling to an external bath","URL":"https://pubs.aip.org/jcp/article/81/8/3684/565473/Molecular-dynamics-with-coupling-to-an-external","volume":"81","author":[{"family":"Berendsen","given":"H. J. C."},{"family":"Postma","given":"J. P. M."},{"family":"Van Gunsteren","given":"W. F."},{"family":"DiNola","given":"A."},{"family":"Haak","given":"J. R."}],"accessed":{"date-parts":[["2025",11,2]]},"issued":{"date-parts":[["1984",10,15]]}}}],"schema":"https://github.com/citation-style-language/schema/raw/master/csl-citation.json"}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[46]</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Position restraints were applied to the protein-ligand complex heavy atoms during both equilibration phases. Finally, all restraints were removed, and a 125 ns production MD simulation was run for each complex, using the Parrinello-Rahman </w:t>
      </w:r>
      <w:proofErr w:type="spellStart"/>
      <w:r w:rsidRPr="007E5190">
        <w:rPr>
          <w:rFonts w:ascii="Times New Roman" w:hAnsi="Times New Roman" w:cs="Times New Roman"/>
          <w:color w:val="0D0D0D" w:themeColor="text1" w:themeTint="F2"/>
        </w:rPr>
        <w:t>barostat</w:t>
      </w:r>
      <w:proofErr w:type="spellEnd"/>
      <w:r w:rsidRPr="007E5190">
        <w:rPr>
          <w:rFonts w:ascii="Times New Roman" w:hAnsi="Times New Roman" w:cs="Times New Roman"/>
          <w:color w:val="0D0D0D" w:themeColor="text1" w:themeTint="F2"/>
        </w:rPr>
        <w:t xml:space="preserve">  for pressure coupling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{"citationID":"xy7tmmH2","properties":{"formattedCitation":"[47]","plainCitation":"[47]","noteIndex":0},"citationItems":[{"id":220,"uris":["http://zotero.org/users/local/GoHQ98fS/items/8BKRI7VN"],"itemData":{"id":220,"type":"article-journal","abstract":"A new Lagrangian formulation is introduced. It can be used to make molecular dynamics (MD) calculations on systems under the most general, externally applied, conditions of stress. In this formulation the MD cell shape and size can change according to dynamical equations given by this Lagrangian. This new MD technique is well suited to the study of structural transformations in solids under external stress and at finite temperature. As an example of the use of this technique we show how a single crystal of Ni behaves under uniform uniaxial compressive and tensile loads. This work confirms some of the results of static (i.e., zero temperature) calculations reported in the literature. We also show that some results regarding the stress-strain relation obtained by static calculations are invalid at finite temperature. We find that, under compressive loading, our model of Ni shows a bifurcation in its stress-strain relation; this bifurcation provides a link in configuration space between cubic and hexagonal close packing. It is suggested that such a transformation could perhaps be observed experimentally under extreme conditions of shock.","container-title":"Journal of Applied Physics","DOI":"10.1063/1.328693","ISSN":"0021-8979, 1089-7550","issue":"12","language":"en","page":"7182-7190","source":"DOI.org (Crossref)","title":"Polymorphic transitions in single crystals: A new molecular dynamics method","title-short":"Polymorphic transitions in single crystals","URL":"https://pubs.aip.org/jap/article/52/12/7182/9558/Polymorphic-transitions-in-single-crystals-A-new","volume":"52","author":[{"family":"Parrinello","given":"M."},{"family":"Rahman","given":"A."}],"accessed":{"date-parts":[["2025",11,2]]},"issued":{"date-parts":[["1981",12,1]]}}}],"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[47]</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Trajectories were saved every 10 </w:t>
      </w:r>
      <w:proofErr w:type="spellStart"/>
      <w:r w:rsidRPr="007E5190">
        <w:rPr>
          <w:rFonts w:ascii="Times New Roman" w:hAnsi="Times New Roman" w:cs="Times New Roman"/>
          <w:color w:val="0D0D0D" w:themeColor="text1" w:themeTint="F2"/>
        </w:rPr>
        <w:t>ps</w:t>
      </w:r>
      <w:proofErr w:type="spellEnd"/>
      <w:r w:rsidRPr="007E5190">
        <w:rPr>
          <w:rFonts w:ascii="Times New Roman" w:hAnsi="Times New Roman" w:cs="Times New Roman"/>
          <w:color w:val="0D0D0D" w:themeColor="text1" w:themeTint="F2"/>
        </w:rPr>
        <w:t xml:space="preserve"> for subsequent analysis.</w:t>
      </w:r>
    </w:p>
    <w:p w14:paraId="76488FCF" w14:textId="77777777" w:rsidR="00F12626" w:rsidRPr="007E5190" w:rsidRDefault="00F12626" w:rsidP="00F12626">
      <w:pPr>
        <w:pStyle w:val="Caption"/>
        <w:keepNext/>
        <w:rPr>
          <w:rFonts w:ascii="Times New Roman" w:hAnsi="Times New Roman" w:cs="Times New Roman"/>
          <w:b w:val="0"/>
          <w:bCs/>
          <w:color w:val="0D0D0D" w:themeColor="text1" w:themeTint="F2"/>
          <w:sz w:val="24"/>
          <w:szCs w:val="24"/>
        </w:rPr>
      </w:pPr>
      <w:bookmarkStart w:id="1" w:name="_Ref213084699"/>
      <w:r w:rsidRPr="007E5190">
        <w:rPr>
          <w:rFonts w:ascii="Times New Roman" w:hAnsi="Times New Roman" w:cs="Times New Roman"/>
          <w:color w:val="0D0D0D" w:themeColor="text1" w:themeTint="F2"/>
          <w:sz w:val="24"/>
          <w:szCs w:val="24"/>
        </w:rPr>
        <w:t xml:space="preserve">Table </w:t>
      </w:r>
      <w:r w:rsidRPr="007E5190">
        <w:rPr>
          <w:rFonts w:ascii="Times New Roman" w:hAnsi="Times New Roman" w:cs="Times New Roman"/>
          <w:color w:val="0D0D0D" w:themeColor="text1" w:themeTint="F2"/>
          <w:sz w:val="24"/>
          <w:szCs w:val="24"/>
        </w:rPr>
        <w:fldChar w:fldCharType="begin"/>
      </w:r>
      <w:r w:rsidRPr="007E5190">
        <w:rPr>
          <w:rFonts w:ascii="Times New Roman" w:hAnsi="Times New Roman" w:cs="Times New Roman"/>
          <w:color w:val="0D0D0D" w:themeColor="text1" w:themeTint="F2"/>
          <w:sz w:val="24"/>
          <w:szCs w:val="24"/>
        </w:rPr>
        <w:instrText xml:space="preserve"> SEQ Table \* ARABIC </w:instrText>
      </w:r>
      <w:r w:rsidRPr="007E5190">
        <w:rPr>
          <w:rFonts w:ascii="Times New Roman" w:hAnsi="Times New Roman" w:cs="Times New Roman"/>
          <w:color w:val="0D0D0D" w:themeColor="text1" w:themeTint="F2"/>
          <w:sz w:val="24"/>
          <w:szCs w:val="24"/>
        </w:rPr>
        <w:fldChar w:fldCharType="separate"/>
      </w:r>
      <w:r w:rsidRPr="007E5190">
        <w:rPr>
          <w:rFonts w:ascii="Times New Roman" w:hAnsi="Times New Roman" w:cs="Times New Roman"/>
          <w:noProof/>
          <w:color w:val="0D0D0D" w:themeColor="text1" w:themeTint="F2"/>
          <w:sz w:val="24"/>
          <w:szCs w:val="24"/>
        </w:rPr>
        <w:t>2</w:t>
      </w:r>
      <w:r w:rsidRPr="007E5190">
        <w:rPr>
          <w:rFonts w:ascii="Times New Roman" w:hAnsi="Times New Roman" w:cs="Times New Roman"/>
          <w:color w:val="0D0D0D" w:themeColor="text1" w:themeTint="F2"/>
          <w:sz w:val="24"/>
          <w:szCs w:val="24"/>
        </w:rPr>
        <w:fldChar w:fldCharType="end"/>
      </w:r>
      <w:bookmarkEnd w:id="1"/>
      <w:r w:rsidRPr="007E5190">
        <w:rPr>
          <w:rFonts w:ascii="Times New Roman" w:hAnsi="Times New Roman" w:cs="Times New Roman"/>
          <w:b w:val="0"/>
          <w:bCs/>
          <w:color w:val="0D0D0D" w:themeColor="text1" w:themeTint="F2"/>
          <w:sz w:val="24"/>
          <w:szCs w:val="24"/>
        </w:rPr>
        <w:t>. Key Parameters used for GROMACS Molecular Dynamics Simulations</w:t>
      </w:r>
    </w:p>
    <w:tbl>
      <w:tblPr>
        <w:tblStyle w:val="TableGrid"/>
        <w:tblW w:w="5000" w:type="pct"/>
        <w:jc w:val="center"/>
        <w:tblLook w:val="04A0" w:firstRow="1" w:lastRow="0" w:firstColumn="1" w:lastColumn="0" w:noHBand="0" w:noVBand="1"/>
      </w:tblPr>
      <w:tblGrid>
        <w:gridCol w:w="2530"/>
        <w:gridCol w:w="1450"/>
        <w:gridCol w:w="2398"/>
        <w:gridCol w:w="1450"/>
        <w:gridCol w:w="1532"/>
      </w:tblGrid>
      <w:tr w:rsidR="009A2946" w:rsidRPr="007E5190" w14:paraId="0D6EF351" w14:textId="77777777" w:rsidTr="0070049F">
        <w:trPr>
          <w:trHeight w:val="1152"/>
          <w:tblHeader/>
          <w:jc w:val="center"/>
        </w:trPr>
        <w:tc>
          <w:tcPr>
            <w:tcW w:w="1042" w:type="pct"/>
            <w:tcBorders>
              <w:left w:val="nil"/>
              <w:bottom w:val="single" w:sz="4" w:space="0" w:color="auto"/>
              <w:right w:val="nil"/>
            </w:tcBorders>
            <w:noWrap/>
            <w:vAlign w:val="center"/>
            <w:hideMark/>
          </w:tcPr>
          <w:p w14:paraId="58C1F255" w14:textId="77777777" w:rsidR="009A2946" w:rsidRPr="007E5190" w:rsidRDefault="009A2946" w:rsidP="0075430E">
            <w:pPr>
              <w:jc w:val="center"/>
              <w:rPr>
                <w:rFonts w:ascii="Times New Roman" w:eastAsia="Times New Roman" w:hAnsi="Times New Roman" w:cs="Times New Roman"/>
                <w:b/>
                <w:bCs/>
                <w:color w:val="0D0D0D" w:themeColor="text1" w:themeTint="F2"/>
                <w:kern w:val="0"/>
                <w14:ligatures w14:val="none"/>
              </w:rPr>
            </w:pPr>
            <w:r w:rsidRPr="007E5190">
              <w:rPr>
                <w:rFonts w:ascii="Times New Roman" w:eastAsia="Times New Roman" w:hAnsi="Times New Roman" w:cs="Times New Roman"/>
                <w:b/>
                <w:bCs/>
                <w:color w:val="0D0D0D" w:themeColor="text1" w:themeTint="F2"/>
                <w:kern w:val="0"/>
                <w14:ligatures w14:val="none"/>
              </w:rPr>
              <w:t>MD Parameters</w:t>
            </w:r>
          </w:p>
        </w:tc>
        <w:tc>
          <w:tcPr>
            <w:tcW w:w="990" w:type="pct"/>
            <w:tcBorders>
              <w:left w:val="nil"/>
              <w:bottom w:val="single" w:sz="4" w:space="0" w:color="auto"/>
              <w:right w:val="nil"/>
            </w:tcBorders>
            <w:noWrap/>
            <w:vAlign w:val="center"/>
            <w:hideMark/>
          </w:tcPr>
          <w:p w14:paraId="237A83B8" w14:textId="77777777" w:rsidR="009A2946" w:rsidRPr="007E5190" w:rsidRDefault="009A2946" w:rsidP="0075430E">
            <w:pPr>
              <w:jc w:val="center"/>
              <w:rPr>
                <w:rFonts w:ascii="Times New Roman" w:eastAsia="Times New Roman" w:hAnsi="Times New Roman" w:cs="Times New Roman"/>
                <w:b/>
                <w:bCs/>
                <w:color w:val="0D0D0D" w:themeColor="text1" w:themeTint="F2"/>
                <w:kern w:val="0"/>
                <w14:ligatures w14:val="none"/>
              </w:rPr>
            </w:pPr>
            <w:r w:rsidRPr="007E5190">
              <w:rPr>
                <w:rFonts w:ascii="Times New Roman" w:eastAsia="Times New Roman" w:hAnsi="Times New Roman" w:cs="Times New Roman"/>
                <w:b/>
                <w:bCs/>
                <w:color w:val="0D0D0D" w:themeColor="text1" w:themeTint="F2"/>
                <w:kern w:val="0"/>
                <w14:ligatures w14:val="none"/>
              </w:rPr>
              <w:t>Control</w:t>
            </w:r>
          </w:p>
        </w:tc>
        <w:tc>
          <w:tcPr>
            <w:tcW w:w="990" w:type="pct"/>
            <w:tcBorders>
              <w:left w:val="nil"/>
              <w:bottom w:val="single" w:sz="4" w:space="0" w:color="auto"/>
              <w:right w:val="nil"/>
            </w:tcBorders>
            <w:noWrap/>
            <w:vAlign w:val="center"/>
            <w:hideMark/>
          </w:tcPr>
          <w:p w14:paraId="2E1BDF58" w14:textId="4AAF5EE6" w:rsidR="009A2946" w:rsidRPr="007E5190" w:rsidRDefault="00D46243" w:rsidP="0075430E">
            <w:pPr>
              <w:jc w:val="center"/>
              <w:rPr>
                <w:rFonts w:ascii="Times New Roman" w:eastAsia="Times New Roman" w:hAnsi="Times New Roman" w:cs="Times New Roman"/>
                <w:b/>
                <w:bCs/>
                <w:color w:val="0D0D0D" w:themeColor="text1" w:themeTint="F2"/>
                <w:kern w:val="0"/>
                <w14:ligatures w14:val="none"/>
              </w:rPr>
            </w:pPr>
            <w:r w:rsidRPr="007E5190">
              <w:rPr>
                <w:rFonts w:ascii="Times New Roman" w:eastAsia="Times New Roman" w:hAnsi="Times New Roman" w:cs="Times New Roman"/>
                <w:b/>
                <w:bCs/>
                <w:color w:val="0D0D0D" w:themeColor="text1" w:themeTint="F2"/>
                <w:kern w:val="0"/>
                <w14:ligatures w14:val="none"/>
              </w:rPr>
              <w:t>Hederagenin</w:t>
            </w:r>
            <w:r w:rsidR="009A2946" w:rsidRPr="007E5190">
              <w:rPr>
                <w:rFonts w:ascii="Times New Roman" w:eastAsia="Times New Roman" w:hAnsi="Times New Roman" w:cs="Times New Roman"/>
                <w:b/>
                <w:bCs/>
                <w:color w:val="0D0D0D" w:themeColor="text1" w:themeTint="F2"/>
                <w:kern w:val="0"/>
                <w14:ligatures w14:val="none"/>
              </w:rPr>
              <w:t xml:space="preserve"> Analogue</w:t>
            </w:r>
          </w:p>
        </w:tc>
        <w:tc>
          <w:tcPr>
            <w:tcW w:w="990" w:type="pct"/>
            <w:tcBorders>
              <w:left w:val="nil"/>
              <w:bottom w:val="single" w:sz="4" w:space="0" w:color="auto"/>
              <w:right w:val="nil"/>
            </w:tcBorders>
            <w:noWrap/>
            <w:vAlign w:val="center"/>
            <w:hideMark/>
          </w:tcPr>
          <w:p w14:paraId="7E5400F7" w14:textId="77777777" w:rsidR="009A2946" w:rsidRPr="007E5190" w:rsidRDefault="009A2946" w:rsidP="0075430E">
            <w:pPr>
              <w:jc w:val="center"/>
              <w:rPr>
                <w:rFonts w:ascii="Times New Roman" w:eastAsia="Times New Roman" w:hAnsi="Times New Roman" w:cs="Times New Roman"/>
                <w:b/>
                <w:bCs/>
                <w:color w:val="0D0D0D" w:themeColor="text1" w:themeTint="F2"/>
                <w:kern w:val="0"/>
                <w14:ligatures w14:val="none"/>
              </w:rPr>
            </w:pPr>
            <w:r w:rsidRPr="007E5190">
              <w:rPr>
                <w:rFonts w:ascii="Times New Roman" w:eastAsia="Times New Roman" w:hAnsi="Times New Roman" w:cs="Times New Roman"/>
                <w:b/>
                <w:bCs/>
                <w:color w:val="0D0D0D" w:themeColor="text1" w:themeTint="F2"/>
                <w:kern w:val="0"/>
                <w14:ligatures w14:val="none"/>
              </w:rPr>
              <w:t>Lupeol</w:t>
            </w:r>
          </w:p>
          <w:p w14:paraId="77B6074D" w14:textId="77777777" w:rsidR="009A2946" w:rsidRPr="007E5190" w:rsidRDefault="009A2946" w:rsidP="0075430E">
            <w:pPr>
              <w:jc w:val="center"/>
              <w:rPr>
                <w:rFonts w:ascii="Times New Roman" w:eastAsia="Times New Roman" w:hAnsi="Times New Roman" w:cs="Times New Roman"/>
                <w:b/>
                <w:bCs/>
                <w:color w:val="0D0D0D" w:themeColor="text1" w:themeTint="F2"/>
                <w:kern w:val="0"/>
                <w14:ligatures w14:val="none"/>
              </w:rPr>
            </w:pPr>
            <w:r w:rsidRPr="007E5190">
              <w:rPr>
                <w:rFonts w:ascii="Times New Roman" w:eastAsia="Times New Roman" w:hAnsi="Times New Roman" w:cs="Times New Roman"/>
                <w:b/>
                <w:bCs/>
                <w:color w:val="0D0D0D" w:themeColor="text1" w:themeTint="F2"/>
                <w:kern w:val="0"/>
                <w14:ligatures w14:val="none"/>
              </w:rPr>
              <w:t>Analogue</w:t>
            </w:r>
          </w:p>
        </w:tc>
        <w:tc>
          <w:tcPr>
            <w:tcW w:w="990" w:type="pct"/>
            <w:tcBorders>
              <w:left w:val="nil"/>
              <w:bottom w:val="single" w:sz="4" w:space="0" w:color="auto"/>
              <w:right w:val="nil"/>
            </w:tcBorders>
            <w:noWrap/>
            <w:vAlign w:val="center"/>
            <w:hideMark/>
          </w:tcPr>
          <w:p w14:paraId="1D4313AE" w14:textId="77777777" w:rsidR="009A2946" w:rsidRPr="007E5190" w:rsidRDefault="009A2946" w:rsidP="0075430E">
            <w:pPr>
              <w:jc w:val="center"/>
              <w:rPr>
                <w:rFonts w:ascii="Times New Roman" w:eastAsia="Times New Roman" w:hAnsi="Times New Roman" w:cs="Times New Roman"/>
                <w:b/>
                <w:bCs/>
                <w:color w:val="0D0D0D" w:themeColor="text1" w:themeTint="F2"/>
                <w:kern w:val="0"/>
                <w14:ligatures w14:val="none"/>
              </w:rPr>
            </w:pPr>
            <w:proofErr w:type="spellStart"/>
            <w:r w:rsidRPr="007E5190">
              <w:rPr>
                <w:rFonts w:ascii="Times New Roman" w:eastAsia="Times New Roman" w:hAnsi="Times New Roman" w:cs="Times New Roman"/>
                <w:b/>
                <w:bCs/>
                <w:color w:val="0D0D0D" w:themeColor="text1" w:themeTint="F2"/>
                <w:kern w:val="0"/>
                <w14:ligatures w14:val="none"/>
              </w:rPr>
              <w:t>Maslinic</w:t>
            </w:r>
            <w:proofErr w:type="spellEnd"/>
            <w:r w:rsidRPr="007E5190">
              <w:rPr>
                <w:rFonts w:ascii="Times New Roman" w:eastAsia="Times New Roman" w:hAnsi="Times New Roman" w:cs="Times New Roman"/>
                <w:b/>
                <w:bCs/>
                <w:color w:val="0D0D0D" w:themeColor="text1" w:themeTint="F2"/>
                <w:kern w:val="0"/>
                <w14:ligatures w14:val="none"/>
              </w:rPr>
              <w:t xml:space="preserve"> Acid</w:t>
            </w:r>
          </w:p>
          <w:p w14:paraId="3156B3AF" w14:textId="77777777" w:rsidR="009A2946" w:rsidRPr="007E5190" w:rsidRDefault="009A2946" w:rsidP="0075430E">
            <w:pPr>
              <w:jc w:val="center"/>
              <w:rPr>
                <w:rFonts w:ascii="Times New Roman" w:eastAsia="Times New Roman" w:hAnsi="Times New Roman" w:cs="Times New Roman"/>
                <w:b/>
                <w:bCs/>
                <w:color w:val="0D0D0D" w:themeColor="text1" w:themeTint="F2"/>
                <w:kern w:val="0"/>
                <w14:ligatures w14:val="none"/>
              </w:rPr>
            </w:pPr>
            <w:r w:rsidRPr="007E5190">
              <w:rPr>
                <w:rFonts w:ascii="Times New Roman" w:eastAsia="Times New Roman" w:hAnsi="Times New Roman" w:cs="Times New Roman"/>
                <w:b/>
                <w:bCs/>
                <w:color w:val="0D0D0D" w:themeColor="text1" w:themeTint="F2"/>
                <w:kern w:val="0"/>
                <w14:ligatures w14:val="none"/>
              </w:rPr>
              <w:t>Analogue</w:t>
            </w:r>
          </w:p>
        </w:tc>
      </w:tr>
      <w:tr w:rsidR="00D42FF0" w:rsidRPr="007E5190" w14:paraId="17B6D6F5" w14:textId="77777777" w:rsidTr="0070049F">
        <w:trPr>
          <w:trHeight w:val="720"/>
          <w:jc w:val="center"/>
        </w:trPr>
        <w:tc>
          <w:tcPr>
            <w:tcW w:w="1042" w:type="pct"/>
            <w:tcBorders>
              <w:top w:val="nil"/>
              <w:left w:val="nil"/>
              <w:bottom w:val="nil"/>
              <w:right w:val="nil"/>
            </w:tcBorders>
            <w:noWrap/>
            <w:vAlign w:val="center"/>
          </w:tcPr>
          <w:p w14:paraId="0F450C90" w14:textId="6E0A2644" w:rsidR="00D42FF0" w:rsidRPr="007E5190" w:rsidRDefault="00FC15A9"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Simulation time (ns)</w:t>
            </w:r>
          </w:p>
        </w:tc>
        <w:tc>
          <w:tcPr>
            <w:tcW w:w="990" w:type="pct"/>
            <w:tcBorders>
              <w:top w:val="nil"/>
              <w:left w:val="nil"/>
              <w:bottom w:val="nil"/>
              <w:right w:val="nil"/>
            </w:tcBorders>
            <w:noWrap/>
            <w:vAlign w:val="center"/>
          </w:tcPr>
          <w:p w14:paraId="66FFA74F" w14:textId="479FD739" w:rsidR="00D42FF0" w:rsidRPr="007E5190" w:rsidRDefault="00FC15A9"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125</w:t>
            </w:r>
          </w:p>
        </w:tc>
        <w:tc>
          <w:tcPr>
            <w:tcW w:w="990" w:type="pct"/>
            <w:tcBorders>
              <w:top w:val="nil"/>
              <w:left w:val="nil"/>
              <w:bottom w:val="nil"/>
              <w:right w:val="nil"/>
            </w:tcBorders>
            <w:noWrap/>
            <w:vAlign w:val="center"/>
          </w:tcPr>
          <w:p w14:paraId="78C267F9" w14:textId="1C0A2C04" w:rsidR="00D42FF0" w:rsidRPr="007E5190" w:rsidRDefault="00FC15A9"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125</w:t>
            </w:r>
          </w:p>
        </w:tc>
        <w:tc>
          <w:tcPr>
            <w:tcW w:w="990" w:type="pct"/>
            <w:tcBorders>
              <w:top w:val="nil"/>
              <w:left w:val="nil"/>
              <w:bottom w:val="nil"/>
              <w:right w:val="nil"/>
            </w:tcBorders>
            <w:noWrap/>
            <w:vAlign w:val="center"/>
          </w:tcPr>
          <w:p w14:paraId="551BB956" w14:textId="12490518" w:rsidR="00D42FF0" w:rsidRPr="007E5190" w:rsidRDefault="00FC15A9"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125</w:t>
            </w:r>
          </w:p>
        </w:tc>
        <w:tc>
          <w:tcPr>
            <w:tcW w:w="990" w:type="pct"/>
            <w:tcBorders>
              <w:top w:val="nil"/>
              <w:left w:val="nil"/>
              <w:bottom w:val="nil"/>
              <w:right w:val="nil"/>
            </w:tcBorders>
            <w:noWrap/>
            <w:vAlign w:val="center"/>
          </w:tcPr>
          <w:p w14:paraId="23A1F814" w14:textId="186C4E89" w:rsidR="00D42FF0" w:rsidRPr="007E5190" w:rsidRDefault="00FC15A9"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125</w:t>
            </w:r>
          </w:p>
        </w:tc>
      </w:tr>
      <w:tr w:rsidR="00FC15A9" w:rsidRPr="007E5190" w14:paraId="06D36589" w14:textId="77777777" w:rsidTr="0070049F">
        <w:trPr>
          <w:trHeight w:val="720"/>
          <w:jc w:val="center"/>
        </w:trPr>
        <w:tc>
          <w:tcPr>
            <w:tcW w:w="1042" w:type="pct"/>
            <w:tcBorders>
              <w:top w:val="nil"/>
              <w:left w:val="nil"/>
              <w:bottom w:val="nil"/>
              <w:right w:val="nil"/>
            </w:tcBorders>
            <w:noWrap/>
            <w:vAlign w:val="center"/>
            <w:hideMark/>
          </w:tcPr>
          <w:p w14:paraId="5900AB6C" w14:textId="743ED77C" w:rsidR="00FC15A9" w:rsidRPr="007E5190" w:rsidRDefault="00FC15A9" w:rsidP="00FC15A9">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RMSD</w:t>
            </w:r>
            <w:r w:rsidR="007E6399" w:rsidRPr="007E5190">
              <w:rPr>
                <w:rFonts w:ascii="Times New Roman" w:hAnsi="Times New Roman" w:cs="Times New Roman"/>
              </w:rPr>
              <w:t xml:space="preserve"> Protein</w:t>
            </w:r>
            <w:r w:rsidRPr="007E5190">
              <w:rPr>
                <w:rFonts w:ascii="Times New Roman" w:eastAsia="Times New Roman" w:hAnsi="Times New Roman" w:cs="Times New Roman"/>
                <w:color w:val="0D0D0D" w:themeColor="text1" w:themeTint="F2"/>
                <w:kern w:val="0"/>
                <w14:ligatures w14:val="none"/>
              </w:rPr>
              <w:t xml:space="preserve"> (nm)</w:t>
            </w:r>
          </w:p>
        </w:tc>
        <w:tc>
          <w:tcPr>
            <w:tcW w:w="990" w:type="pct"/>
            <w:tcBorders>
              <w:top w:val="nil"/>
              <w:left w:val="nil"/>
              <w:bottom w:val="nil"/>
              <w:right w:val="nil"/>
            </w:tcBorders>
            <w:noWrap/>
            <w:vAlign w:val="center"/>
            <w:hideMark/>
          </w:tcPr>
          <w:p w14:paraId="09BD2754" w14:textId="0B525BAA" w:rsidR="00FC15A9" w:rsidRPr="007E5190" w:rsidRDefault="007E6399" w:rsidP="00FC15A9">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0.15 ± 0.03</w:t>
            </w:r>
          </w:p>
        </w:tc>
        <w:tc>
          <w:tcPr>
            <w:tcW w:w="990" w:type="pct"/>
            <w:tcBorders>
              <w:top w:val="nil"/>
              <w:left w:val="nil"/>
              <w:bottom w:val="nil"/>
              <w:right w:val="nil"/>
            </w:tcBorders>
            <w:noWrap/>
            <w:vAlign w:val="center"/>
            <w:hideMark/>
          </w:tcPr>
          <w:p w14:paraId="389A73DE" w14:textId="30F24E52" w:rsidR="00FC15A9" w:rsidRPr="007E5190" w:rsidRDefault="007E6399" w:rsidP="00FC15A9">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0.15 ± 0.03</w:t>
            </w:r>
          </w:p>
        </w:tc>
        <w:tc>
          <w:tcPr>
            <w:tcW w:w="990" w:type="pct"/>
            <w:tcBorders>
              <w:top w:val="nil"/>
              <w:left w:val="nil"/>
              <w:bottom w:val="nil"/>
              <w:right w:val="nil"/>
            </w:tcBorders>
            <w:noWrap/>
            <w:vAlign w:val="center"/>
            <w:hideMark/>
          </w:tcPr>
          <w:p w14:paraId="185BE7E3" w14:textId="49D25BBB" w:rsidR="00FC15A9" w:rsidRPr="007E5190" w:rsidRDefault="007E6399" w:rsidP="00FC15A9">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0.16 ± 0.03</w:t>
            </w:r>
          </w:p>
        </w:tc>
        <w:tc>
          <w:tcPr>
            <w:tcW w:w="990" w:type="pct"/>
            <w:tcBorders>
              <w:top w:val="nil"/>
              <w:left w:val="nil"/>
              <w:bottom w:val="nil"/>
              <w:right w:val="nil"/>
            </w:tcBorders>
            <w:noWrap/>
            <w:vAlign w:val="center"/>
            <w:hideMark/>
          </w:tcPr>
          <w:p w14:paraId="18DBB9F2" w14:textId="1B17FA1C" w:rsidR="00FC15A9" w:rsidRPr="007E5190" w:rsidRDefault="007E6399" w:rsidP="00FC15A9">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0.15 ± 0.0</w:t>
            </w:r>
            <w:r w:rsidR="00FE76F1" w:rsidRPr="007E5190">
              <w:rPr>
                <w:rFonts w:ascii="Times New Roman" w:eastAsia="Times New Roman" w:hAnsi="Times New Roman" w:cs="Times New Roman"/>
                <w:color w:val="0D0D0D" w:themeColor="text1" w:themeTint="F2"/>
                <w:kern w:val="0"/>
                <w14:ligatures w14:val="none"/>
              </w:rPr>
              <w:t>4</w:t>
            </w:r>
          </w:p>
        </w:tc>
      </w:tr>
      <w:tr w:rsidR="009A2946" w:rsidRPr="007E5190" w14:paraId="029BB4D3" w14:textId="77777777" w:rsidTr="0070049F">
        <w:trPr>
          <w:trHeight w:val="720"/>
          <w:jc w:val="center"/>
        </w:trPr>
        <w:tc>
          <w:tcPr>
            <w:tcW w:w="1042" w:type="pct"/>
            <w:tcBorders>
              <w:top w:val="nil"/>
              <w:left w:val="nil"/>
              <w:bottom w:val="nil"/>
              <w:right w:val="nil"/>
            </w:tcBorders>
            <w:noWrap/>
            <w:vAlign w:val="center"/>
            <w:hideMark/>
          </w:tcPr>
          <w:p w14:paraId="76EAE08E"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RMSF (nm)</w:t>
            </w:r>
          </w:p>
        </w:tc>
        <w:tc>
          <w:tcPr>
            <w:tcW w:w="990" w:type="pct"/>
            <w:tcBorders>
              <w:top w:val="nil"/>
              <w:left w:val="nil"/>
              <w:bottom w:val="nil"/>
              <w:right w:val="nil"/>
            </w:tcBorders>
            <w:noWrap/>
            <w:vAlign w:val="center"/>
            <w:hideMark/>
          </w:tcPr>
          <w:p w14:paraId="2BB592BC" w14:textId="48973FC5" w:rsidR="009A2946" w:rsidRPr="007E5190" w:rsidRDefault="00FE76F1"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0.08 ± 0.03</w:t>
            </w:r>
          </w:p>
        </w:tc>
        <w:tc>
          <w:tcPr>
            <w:tcW w:w="990" w:type="pct"/>
            <w:tcBorders>
              <w:top w:val="nil"/>
              <w:left w:val="nil"/>
              <w:bottom w:val="nil"/>
              <w:right w:val="nil"/>
            </w:tcBorders>
            <w:noWrap/>
            <w:vAlign w:val="center"/>
            <w:hideMark/>
          </w:tcPr>
          <w:p w14:paraId="6FCB068B" w14:textId="3536E8FD" w:rsidR="009A2946" w:rsidRPr="007E5190" w:rsidRDefault="00FE76F1"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0.09 ± 0.03</w:t>
            </w:r>
          </w:p>
        </w:tc>
        <w:tc>
          <w:tcPr>
            <w:tcW w:w="990" w:type="pct"/>
            <w:tcBorders>
              <w:top w:val="nil"/>
              <w:left w:val="nil"/>
              <w:bottom w:val="nil"/>
              <w:right w:val="nil"/>
            </w:tcBorders>
            <w:noWrap/>
            <w:vAlign w:val="center"/>
            <w:hideMark/>
          </w:tcPr>
          <w:p w14:paraId="5AC6F0F0" w14:textId="7AE9F5AA" w:rsidR="009A2946" w:rsidRPr="007E5190" w:rsidRDefault="00FE76F1"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0.09 ± 0.03</w:t>
            </w:r>
          </w:p>
        </w:tc>
        <w:tc>
          <w:tcPr>
            <w:tcW w:w="990" w:type="pct"/>
            <w:tcBorders>
              <w:top w:val="nil"/>
              <w:left w:val="nil"/>
              <w:bottom w:val="nil"/>
              <w:right w:val="nil"/>
            </w:tcBorders>
            <w:noWrap/>
            <w:vAlign w:val="center"/>
            <w:hideMark/>
          </w:tcPr>
          <w:p w14:paraId="1D161D80" w14:textId="45ACF8BD" w:rsidR="009A2946" w:rsidRPr="007E5190" w:rsidRDefault="00FE76F1"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0.09 ± 0.03</w:t>
            </w:r>
          </w:p>
        </w:tc>
      </w:tr>
      <w:tr w:rsidR="009A2946" w:rsidRPr="007E5190" w14:paraId="7A40882F" w14:textId="77777777" w:rsidTr="0070049F">
        <w:trPr>
          <w:trHeight w:val="720"/>
          <w:jc w:val="center"/>
        </w:trPr>
        <w:tc>
          <w:tcPr>
            <w:tcW w:w="1042" w:type="pct"/>
            <w:tcBorders>
              <w:top w:val="nil"/>
              <w:left w:val="nil"/>
              <w:bottom w:val="nil"/>
              <w:right w:val="nil"/>
            </w:tcBorders>
            <w:noWrap/>
            <w:vAlign w:val="center"/>
            <w:hideMark/>
          </w:tcPr>
          <w:p w14:paraId="2A74C5DD"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proofErr w:type="spellStart"/>
            <w:r w:rsidRPr="007E5190">
              <w:rPr>
                <w:rFonts w:ascii="Times New Roman" w:eastAsia="Times New Roman" w:hAnsi="Times New Roman" w:cs="Times New Roman"/>
                <w:color w:val="0D0D0D" w:themeColor="text1" w:themeTint="F2"/>
                <w:kern w:val="0"/>
                <w14:ligatures w14:val="none"/>
              </w:rPr>
              <w:t>Rg</w:t>
            </w:r>
            <w:proofErr w:type="spellEnd"/>
            <w:r w:rsidRPr="007E5190">
              <w:rPr>
                <w:rFonts w:ascii="Times New Roman" w:eastAsia="Times New Roman" w:hAnsi="Times New Roman" w:cs="Times New Roman"/>
                <w:color w:val="0D0D0D" w:themeColor="text1" w:themeTint="F2"/>
                <w:kern w:val="0"/>
                <w14:ligatures w14:val="none"/>
              </w:rPr>
              <w:t xml:space="preserve"> (nm)</w:t>
            </w:r>
          </w:p>
        </w:tc>
        <w:tc>
          <w:tcPr>
            <w:tcW w:w="990" w:type="pct"/>
            <w:tcBorders>
              <w:top w:val="nil"/>
              <w:left w:val="nil"/>
              <w:bottom w:val="nil"/>
              <w:right w:val="nil"/>
            </w:tcBorders>
            <w:noWrap/>
            <w:vAlign w:val="center"/>
            <w:hideMark/>
          </w:tcPr>
          <w:p w14:paraId="5CD78681" w14:textId="1B049F40" w:rsidR="009A2946" w:rsidRPr="007E5190" w:rsidRDefault="002D0641"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2.55 ± 0.05</w:t>
            </w:r>
          </w:p>
        </w:tc>
        <w:tc>
          <w:tcPr>
            <w:tcW w:w="990" w:type="pct"/>
            <w:tcBorders>
              <w:top w:val="nil"/>
              <w:left w:val="nil"/>
              <w:bottom w:val="nil"/>
              <w:right w:val="nil"/>
            </w:tcBorders>
            <w:noWrap/>
            <w:vAlign w:val="center"/>
            <w:hideMark/>
          </w:tcPr>
          <w:p w14:paraId="534FDDD3" w14:textId="5450617F" w:rsidR="009A2946" w:rsidRPr="007E5190" w:rsidRDefault="002D0641"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2.59 ± 0.01</w:t>
            </w:r>
          </w:p>
        </w:tc>
        <w:tc>
          <w:tcPr>
            <w:tcW w:w="990" w:type="pct"/>
            <w:tcBorders>
              <w:top w:val="nil"/>
              <w:left w:val="nil"/>
              <w:bottom w:val="nil"/>
              <w:right w:val="nil"/>
            </w:tcBorders>
            <w:noWrap/>
            <w:vAlign w:val="center"/>
            <w:hideMark/>
          </w:tcPr>
          <w:p w14:paraId="39FDD520" w14:textId="4FDAED92" w:rsidR="009A2946" w:rsidRPr="007E5190" w:rsidRDefault="002D0641"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2.55 ± 0.03</w:t>
            </w:r>
          </w:p>
        </w:tc>
        <w:tc>
          <w:tcPr>
            <w:tcW w:w="990" w:type="pct"/>
            <w:tcBorders>
              <w:top w:val="nil"/>
              <w:left w:val="nil"/>
              <w:bottom w:val="nil"/>
              <w:right w:val="nil"/>
            </w:tcBorders>
            <w:noWrap/>
            <w:vAlign w:val="center"/>
            <w:hideMark/>
          </w:tcPr>
          <w:p w14:paraId="59E5EE90" w14:textId="10D78268" w:rsidR="009A2946" w:rsidRPr="007E5190" w:rsidRDefault="002D0641"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2.54 ± 0.03</w:t>
            </w:r>
          </w:p>
        </w:tc>
      </w:tr>
      <w:tr w:rsidR="009A2946" w:rsidRPr="007E5190" w14:paraId="1E969878" w14:textId="77777777" w:rsidTr="0070049F">
        <w:trPr>
          <w:trHeight w:val="720"/>
          <w:jc w:val="center"/>
        </w:trPr>
        <w:tc>
          <w:tcPr>
            <w:tcW w:w="1042" w:type="pct"/>
            <w:tcBorders>
              <w:top w:val="nil"/>
              <w:left w:val="nil"/>
              <w:bottom w:val="nil"/>
              <w:right w:val="nil"/>
            </w:tcBorders>
            <w:noWrap/>
            <w:vAlign w:val="center"/>
            <w:hideMark/>
          </w:tcPr>
          <w:p w14:paraId="18B5633F"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Hydrogen bonds</w:t>
            </w:r>
          </w:p>
        </w:tc>
        <w:tc>
          <w:tcPr>
            <w:tcW w:w="990" w:type="pct"/>
            <w:tcBorders>
              <w:top w:val="nil"/>
              <w:left w:val="nil"/>
              <w:bottom w:val="nil"/>
              <w:right w:val="nil"/>
            </w:tcBorders>
            <w:noWrap/>
            <w:vAlign w:val="center"/>
            <w:hideMark/>
          </w:tcPr>
          <w:p w14:paraId="01AD1838" w14:textId="210F0377" w:rsidR="009A2946" w:rsidRPr="007E5190" w:rsidRDefault="002D0641"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0.30</w:t>
            </w:r>
          </w:p>
        </w:tc>
        <w:tc>
          <w:tcPr>
            <w:tcW w:w="990" w:type="pct"/>
            <w:tcBorders>
              <w:top w:val="nil"/>
              <w:left w:val="nil"/>
              <w:bottom w:val="nil"/>
              <w:right w:val="nil"/>
            </w:tcBorders>
            <w:noWrap/>
            <w:vAlign w:val="center"/>
            <w:hideMark/>
          </w:tcPr>
          <w:p w14:paraId="6886D5E3"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0.14</w:t>
            </w:r>
          </w:p>
        </w:tc>
        <w:tc>
          <w:tcPr>
            <w:tcW w:w="990" w:type="pct"/>
            <w:tcBorders>
              <w:top w:val="nil"/>
              <w:left w:val="nil"/>
              <w:bottom w:val="nil"/>
              <w:right w:val="nil"/>
            </w:tcBorders>
            <w:noWrap/>
            <w:vAlign w:val="center"/>
            <w:hideMark/>
          </w:tcPr>
          <w:p w14:paraId="17C8527E"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0.07</w:t>
            </w:r>
          </w:p>
        </w:tc>
        <w:tc>
          <w:tcPr>
            <w:tcW w:w="990" w:type="pct"/>
            <w:tcBorders>
              <w:top w:val="nil"/>
              <w:left w:val="nil"/>
              <w:bottom w:val="nil"/>
              <w:right w:val="nil"/>
            </w:tcBorders>
            <w:noWrap/>
            <w:vAlign w:val="center"/>
            <w:hideMark/>
          </w:tcPr>
          <w:p w14:paraId="7B115AE6"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0.31</w:t>
            </w:r>
          </w:p>
        </w:tc>
      </w:tr>
      <w:tr w:rsidR="009A2946" w:rsidRPr="007E5190" w14:paraId="3E1B835A" w14:textId="77777777" w:rsidTr="0070049F">
        <w:trPr>
          <w:trHeight w:val="720"/>
          <w:jc w:val="center"/>
        </w:trPr>
        <w:tc>
          <w:tcPr>
            <w:tcW w:w="1042" w:type="pct"/>
            <w:tcBorders>
              <w:top w:val="nil"/>
              <w:left w:val="nil"/>
              <w:bottom w:val="nil"/>
              <w:right w:val="nil"/>
            </w:tcBorders>
            <w:noWrap/>
            <w:vAlign w:val="center"/>
            <w:hideMark/>
          </w:tcPr>
          <w:p w14:paraId="1263EC18"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H-bonds pairs (&lt;0.35 nm)</w:t>
            </w:r>
          </w:p>
        </w:tc>
        <w:tc>
          <w:tcPr>
            <w:tcW w:w="990" w:type="pct"/>
            <w:tcBorders>
              <w:top w:val="nil"/>
              <w:left w:val="nil"/>
              <w:bottom w:val="nil"/>
              <w:right w:val="nil"/>
            </w:tcBorders>
            <w:noWrap/>
            <w:vAlign w:val="center"/>
            <w:hideMark/>
          </w:tcPr>
          <w:p w14:paraId="1E65068C"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1.23</w:t>
            </w:r>
          </w:p>
        </w:tc>
        <w:tc>
          <w:tcPr>
            <w:tcW w:w="990" w:type="pct"/>
            <w:tcBorders>
              <w:top w:val="nil"/>
              <w:left w:val="nil"/>
              <w:bottom w:val="nil"/>
              <w:right w:val="nil"/>
            </w:tcBorders>
            <w:noWrap/>
            <w:vAlign w:val="center"/>
            <w:hideMark/>
          </w:tcPr>
          <w:p w14:paraId="24B8FAAF"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1.34</w:t>
            </w:r>
          </w:p>
        </w:tc>
        <w:tc>
          <w:tcPr>
            <w:tcW w:w="990" w:type="pct"/>
            <w:tcBorders>
              <w:top w:val="nil"/>
              <w:left w:val="nil"/>
              <w:bottom w:val="nil"/>
              <w:right w:val="nil"/>
            </w:tcBorders>
            <w:noWrap/>
            <w:vAlign w:val="center"/>
            <w:hideMark/>
          </w:tcPr>
          <w:p w14:paraId="6775CC89"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1.04</w:t>
            </w:r>
          </w:p>
        </w:tc>
        <w:tc>
          <w:tcPr>
            <w:tcW w:w="990" w:type="pct"/>
            <w:tcBorders>
              <w:top w:val="nil"/>
              <w:left w:val="nil"/>
              <w:bottom w:val="nil"/>
              <w:right w:val="nil"/>
            </w:tcBorders>
            <w:noWrap/>
            <w:vAlign w:val="center"/>
            <w:hideMark/>
          </w:tcPr>
          <w:p w14:paraId="2D34901E" w14:textId="77777777" w:rsidR="009A2946" w:rsidRPr="007E5190" w:rsidRDefault="009A2946" w:rsidP="0075430E">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1.26</w:t>
            </w:r>
          </w:p>
        </w:tc>
      </w:tr>
      <w:tr w:rsidR="0070049F" w:rsidRPr="007E5190" w14:paraId="5B1A936C" w14:textId="77777777" w:rsidTr="0070049F">
        <w:trPr>
          <w:trHeight w:val="720"/>
          <w:jc w:val="center"/>
        </w:trPr>
        <w:tc>
          <w:tcPr>
            <w:tcW w:w="1042" w:type="pct"/>
            <w:tcBorders>
              <w:top w:val="nil"/>
              <w:left w:val="nil"/>
              <w:right w:val="nil"/>
            </w:tcBorders>
            <w:noWrap/>
            <w:vAlign w:val="center"/>
            <w:hideMark/>
          </w:tcPr>
          <w:p w14:paraId="408AF1BB" w14:textId="476BCAA3" w:rsidR="0070049F" w:rsidRPr="007E5190" w:rsidRDefault="0070049F" w:rsidP="0070049F">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lastRenderedPageBreak/>
              <w:t>SASA (nm²)</w:t>
            </w:r>
          </w:p>
        </w:tc>
        <w:tc>
          <w:tcPr>
            <w:tcW w:w="990" w:type="pct"/>
            <w:tcBorders>
              <w:top w:val="nil"/>
              <w:left w:val="nil"/>
              <w:right w:val="nil"/>
            </w:tcBorders>
            <w:noWrap/>
            <w:vAlign w:val="center"/>
            <w:hideMark/>
          </w:tcPr>
          <w:p w14:paraId="2D686B33" w14:textId="49C9BB05" w:rsidR="0070049F" w:rsidRPr="007E5190" w:rsidRDefault="0070049F" w:rsidP="0070049F">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143.56 ± 3.12</w:t>
            </w:r>
          </w:p>
        </w:tc>
        <w:tc>
          <w:tcPr>
            <w:tcW w:w="990" w:type="pct"/>
            <w:tcBorders>
              <w:top w:val="nil"/>
              <w:left w:val="nil"/>
              <w:right w:val="nil"/>
            </w:tcBorders>
            <w:noWrap/>
            <w:vAlign w:val="center"/>
            <w:hideMark/>
          </w:tcPr>
          <w:p w14:paraId="19E55C52" w14:textId="0DF5E9BF" w:rsidR="0070049F" w:rsidRPr="007E5190" w:rsidRDefault="0070049F" w:rsidP="0070049F">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145.40 ± 2.75</w:t>
            </w:r>
          </w:p>
        </w:tc>
        <w:tc>
          <w:tcPr>
            <w:tcW w:w="990" w:type="pct"/>
            <w:tcBorders>
              <w:top w:val="nil"/>
              <w:left w:val="nil"/>
              <w:right w:val="nil"/>
            </w:tcBorders>
            <w:noWrap/>
            <w:vAlign w:val="center"/>
            <w:hideMark/>
          </w:tcPr>
          <w:p w14:paraId="0F1372A2" w14:textId="1152419E" w:rsidR="0070049F" w:rsidRPr="007E5190" w:rsidRDefault="0070049F" w:rsidP="0070049F">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141.49 ± 2.86</w:t>
            </w:r>
          </w:p>
        </w:tc>
        <w:tc>
          <w:tcPr>
            <w:tcW w:w="990" w:type="pct"/>
            <w:tcBorders>
              <w:top w:val="nil"/>
              <w:left w:val="nil"/>
              <w:right w:val="nil"/>
            </w:tcBorders>
            <w:noWrap/>
            <w:vAlign w:val="center"/>
            <w:hideMark/>
          </w:tcPr>
          <w:p w14:paraId="78217735" w14:textId="29334444" w:rsidR="0070049F" w:rsidRPr="007E5190" w:rsidRDefault="0070049F" w:rsidP="0070049F">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140.04 ± 2.78</w:t>
            </w:r>
          </w:p>
        </w:tc>
      </w:tr>
    </w:tbl>
    <w:p w14:paraId="25968415" w14:textId="77777777" w:rsidR="00F12626" w:rsidRPr="007E5190" w:rsidRDefault="00F12626" w:rsidP="00F12626">
      <w:pPr>
        <w:jc w:val="both"/>
        <w:rPr>
          <w:rFonts w:ascii="Times New Roman" w:hAnsi="Times New Roman" w:cs="Times New Roman"/>
          <w:color w:val="0D0D0D" w:themeColor="text1" w:themeTint="F2"/>
        </w:rPr>
      </w:pPr>
    </w:p>
    <w:p w14:paraId="1A55D80C" w14:textId="77777777" w:rsidR="00F12626" w:rsidRPr="007E5190" w:rsidRDefault="00F12626" w:rsidP="00DD06FA">
      <w:pPr>
        <w:pStyle w:val="Heading2"/>
        <w:rPr>
          <w:rFonts w:cs="Times New Roman"/>
        </w:rPr>
      </w:pPr>
      <w:r w:rsidRPr="007E5190">
        <w:rPr>
          <w:rFonts w:cs="Times New Roman"/>
        </w:rPr>
        <w:t>Post-Simulation Trajectory Analysis</w:t>
      </w:r>
    </w:p>
    <w:p w14:paraId="051DF0FE" w14:textId="3038CE75" w:rsidR="00E76C1F" w:rsidRPr="007E5190" w:rsidRDefault="00E76C1F" w:rsidP="00E76C1F">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For the analysis of stability and dynamics, the production trajectories first required processing. They were concatenated into a single 125 ns trajectory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trjcat</w:t>
      </w:r>
      <w:proofErr w:type="spellEnd"/>
      <w:r w:rsidRPr="007E5190">
        <w:rPr>
          <w:rFonts w:ascii="Times New Roman" w:hAnsi="Times New Roman" w:cs="Times New Roman"/>
          <w:color w:val="0D0D0D" w:themeColor="text1" w:themeTint="F2"/>
        </w:rPr>
        <w:t xml:space="preserve">). Next, corrections for periodic boundary conditions (PBC) were applied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trjconv</w:t>
      </w:r>
      <w:proofErr w:type="spellEnd"/>
      <w:r w:rsidRPr="007E5190">
        <w:rPr>
          <w:rFonts w:ascii="Times New Roman" w:hAnsi="Times New Roman" w:cs="Times New Roman"/>
          <w:color w:val="0D0D0D" w:themeColor="text1" w:themeTint="F2"/>
        </w:rPr>
        <w:t xml:space="preserve">, which centered the complex and removed rotational/translational "jumps" by fitting to a reference </w:t>
      </w:r>
      <w:r w:rsidR="00782EA8" w:rsidRPr="007E5190">
        <w:rPr>
          <w:rFonts w:ascii="Times New Roman" w:hAnsi="Times New Roman" w:cs="Times New Roman"/>
          <w:color w:val="0D0D0D" w:themeColor="text1" w:themeTint="F2"/>
        </w:rPr>
        <w:t>structure.</w:t>
      </w:r>
      <w:r w:rsidRPr="007E5190">
        <w:rPr>
          <w:rFonts w:ascii="Times New Roman" w:hAnsi="Times New Roman" w:cs="Times New Roman"/>
          <w:color w:val="0D0D0D" w:themeColor="text1" w:themeTint="F2"/>
        </w:rPr>
        <w:t xml:space="preserve"> The GROMACS [38] built-in modules, VMD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{"citationID":"tqCmYkZN","properties":{"formattedCitation":"[48]","plainCitation":"[48]","noteIndex":0},"citationItems":[{"id":221,"uris":["http://zotero.org/users/local/GoHQ98fS/items/ZBLC55WT"],"itemData":{"id":221,"type":"article-journal","container-title":"Journal of Molecular Graphics","DOI":"10.1016/0263-7855(96)00018-5","ISSN":"02637855","issue":"1","journalAbbreviation":"Journal of Molecular Graphics","language":"en","page":"33-38","source":"DOI.org (Crossref)","title":"VMD: Visual molecular dynamics","title-short":"VMD","URL":"https://linkinghub.elsevier.com/retrieve/pii/0263785596000185","volume":"14","author":[{"family":"Humphrey","given":"William"},{"family":"Dalke","given":"Andrew"},{"family":"Schulten","given":"Klaus"}],"accessed":{"date-parts":[["2025",11,2]]},"issued":{"date-parts":[["1996",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[48]</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and the PLIP web server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{"citationID":"xGy0TiOZ","properties":{"formattedCitation":"[30]","plainCitation":"[30]","noteIndex":0},"citationItems":[{"id":188,"uris":["http://zotero.org/users/local/GoHQ98fS/items/UDYCRL6M"],"itemData":{"id":188,"type":"article-journal","abstract":"Abstract\n            With the growth of protein structure data, the analysis of molecular interactions between ligands and their target molecules is gaining importance. PLIP, the protein–ligand interaction profiler, detects and visualises these interactions and provides data in formats suitable for further processing. PLIP has proven very successful in applications ranging from the characterisation of docking experiments to the assessment of novel ligand–protein complexes. Besides ligand–protein interactions, interactions with DNA and RNA play a vital role in many applications, such as drugs targeting DNA or RNA-binding proteins. To date, over 7% of all 3D structures in the Protein Data Bank include DNA or RNA. Therefore, we extended PLIP to encompass these important molecules. We demonstrate the power of this extension with examples of a cancer drug binding to a DNA target, and an RNA–protein complex central to a neurological disease. PLIP is available online at https://plip-tool.biotec.tu-dresden.de and as open source code. So far, the engine has served over a million queries and the source code has been downloaded several thousand times.","container-title":"Nucleic Acids Research","DOI":"10.1093/nar/gkab294","ISSN":"0305-1048, 1362-4962","issue":"W1","language":"en","license":"http://creativecommons.org/licenses/by/4.0/","page":"W530-W534","source":"DOI.org (Crossref)","title":"PLIP 2021: expanding the scope of the protein–ligand interaction profiler to DNA and RNA","title-short":"PLIP 2021","URL":"https://academic.oup.com/nar/article/49/W1/W530/6266421","volume":"49","author":[{"family":"Adasme","given":"Melissa F"},{"family":"Linnemann","given":"Katja L"},{"family":"Bolz","given":"Sarah Naomi"},{"family":"Kaiser","given":"Florian"},{"family":"Salentin","given":"Sebastian"},{"family":"Haupt","given":"V Joachim"},{"family":"Schroeder","given":"Michael"}],"accessed":{"date-parts":[["2025",11,2]]},"issued":{"date-parts":[["2021",7,2]]}}}],"schema":"https://github.com/citation-style-language/schema/raw/master/csl-citation.json"}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[30]</w:t>
      </w:r>
      <w:r w:rsidR="00F12626"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were utilized for all the subsequent analyses</w:t>
      </w:r>
      <w:r w:rsidR="00C25AD2" w:rsidRPr="007E5190">
        <w:rPr>
          <w:rFonts w:ascii="Times New Roman" w:hAnsi="Times New Roman" w:cs="Times New Roman"/>
          <w:color w:val="0D0D0D" w:themeColor="text1" w:themeTint="F2"/>
        </w:rPr>
        <w:t>.</w:t>
      </w:r>
      <w:r w:rsidRPr="007E5190">
        <w:rPr>
          <w:rFonts w:ascii="Times New Roman" w:hAnsi="Times New Roman" w:cs="Times New Roman"/>
        </w:rPr>
        <w:t xml:space="preserve"> </w:t>
      </w:r>
      <w:r w:rsidRPr="007E5190">
        <w:rPr>
          <w:rFonts w:ascii="Times New Roman" w:hAnsi="Times New Roman" w:cs="Times New Roman"/>
          <w:color w:val="0D0D0D" w:themeColor="text1" w:themeTint="F2"/>
        </w:rPr>
        <w:t xml:space="preserve">Several key metrics were calculated to assess structural stability. The Root Mean Square Deviation (RMSD) of the protein backbone and ligand was determined with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r w:rsidR="00782EA8" w:rsidRPr="007E5190">
        <w:rPr>
          <w:rFonts w:ascii="Times New Roman" w:hAnsi="Times New Roman" w:cs="Times New Roman"/>
          <w:color w:val="0D0D0D" w:themeColor="text1" w:themeTint="F2"/>
        </w:rPr>
        <w:t>rms,</w:t>
      </w:r>
      <w:r w:rsidRPr="007E5190">
        <w:rPr>
          <w:rFonts w:ascii="Times New Roman" w:hAnsi="Times New Roman" w:cs="Times New Roman"/>
          <w:color w:val="0D0D0D" w:themeColor="text1" w:themeTint="F2"/>
        </w:rPr>
        <w:t xml:space="preserve"> while the protein's compactness was measured via the Radius of Gyration (</w:t>
      </w:r>
      <w:proofErr w:type="spellStart"/>
      <w:r w:rsidRPr="007E5190">
        <w:rPr>
          <w:rFonts w:ascii="Times New Roman" w:hAnsi="Times New Roman" w:cs="Times New Roman"/>
          <w:color w:val="0D0D0D" w:themeColor="text1" w:themeTint="F2"/>
        </w:rPr>
        <w:t>Rg</w:t>
      </w:r>
      <w:proofErr w:type="spellEnd"/>
      <w:r w:rsidRPr="007E5190">
        <w:rPr>
          <w:rFonts w:ascii="Times New Roman" w:hAnsi="Times New Roman" w:cs="Times New Roman"/>
          <w:color w:val="0D0D0D" w:themeColor="text1" w:themeTint="F2"/>
        </w:rPr>
        <w:t xml:space="preserve">)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gyrate. To analyze per-residue flexibility, the Root Mean Square Fluctuation (RMSF) of </w:t>
      </w:r>
      <w:r w:rsidR="00F12626" w:rsidRPr="007E5190">
        <w:rPr>
          <w:rFonts w:ascii="Times New Roman" w:hAnsi="Times New Roman" w:cs="Times New Roman"/>
          <w:color w:val="0D0D0D" w:themeColor="text1" w:themeTint="F2"/>
        </w:rPr>
        <w:t>C</w:t>
      </w:r>
      <m:oMath>
        <m:r>
          <w:rPr>
            <w:rFonts w:ascii="Cambria Math" w:hAnsi="Cambria Math" w:cs="Times New Roman"/>
            <w:color w:val="0D0D0D" w:themeColor="text1" w:themeTint="F2"/>
          </w:rPr>
          <m:t>α</m:t>
        </m:r>
      </m:oMath>
      <w:r w:rsidR="00F1262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atoms was computed with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rmsf</w:t>
      </w:r>
      <w:proofErr w:type="spellEnd"/>
      <w:r w:rsidRPr="007E5190">
        <w:rPr>
          <w:rFonts w:ascii="Times New Roman" w:hAnsi="Times New Roman" w:cs="Times New Roman"/>
          <w:color w:val="0D0D0D" w:themeColor="text1" w:themeTint="F2"/>
        </w:rPr>
        <w:t xml:space="preserve">. Finally, the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sasa</w:t>
      </w:r>
      <w:proofErr w:type="spellEnd"/>
      <w:r w:rsidRPr="007E5190">
        <w:rPr>
          <w:rFonts w:ascii="Times New Roman" w:hAnsi="Times New Roman" w:cs="Times New Roman"/>
          <w:color w:val="0D0D0D" w:themeColor="text1" w:themeTint="F2"/>
        </w:rPr>
        <w:t xml:space="preserve"> tool was used to calculate the Solvent Accessible Surface Area (SASA).</w:t>
      </w:r>
      <w:r w:rsidR="00F12626" w:rsidRPr="007E5190">
        <w:rPr>
          <w:rFonts w:ascii="Times New Roman" w:hAnsi="Times New Roman" w:cs="Times New Roman"/>
          <w:color w:val="0D0D0D" w:themeColor="text1" w:themeTint="F2"/>
        </w:rPr>
        <w:t xml:space="preserve"> Intermolecular hydrogen bond formation was analyzed using the VMD software package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{"citationID":"ly4ttj2M","properties":{"formattedCitation":"[48]","plainCitation":"[48]","noteIndex":0},"citationItems":[{"id":221,"uris":["http://zotero.org/users/local/GoHQ98fS/items/ZBLC55WT"],"itemData":{"id":221,"type":"article-journal","container-title":"Journal of Molecular Graphics","DOI":"10.1016/0263-7855(96)00018-5","ISSN":"02637855","issue":"1","journalAbbreviation":"Journal of Molecular Graphics","language":"en","page":"33-38","source":"DOI.org (Crossref)","title":"VMD: Visual molecular dynamics","title-short":"VMD","URL":"https://linkinghub.elsevier.com/retrieve/pii/0263785596000185","volume":"14","author":[{"family":"Humphrey","given":"William"},{"family":"Dalke","given":"Andrew"},{"family":"Schulten","given":"Klaus"}],"accessed":{"date-parts":[["2025",11,2]]},"issued":{"date-parts":[["1996",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[48]</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and the total number of non-covalent contacts (within 0.6 nm) was calculated using the </w:t>
      </w:r>
      <w:proofErr w:type="spellStart"/>
      <w:r w:rsidR="00F12626" w:rsidRPr="007E5190">
        <w:rPr>
          <w:rFonts w:ascii="Times New Roman" w:hAnsi="Times New Roman" w:cs="Times New Roman"/>
          <w:color w:val="0D0D0D" w:themeColor="text1" w:themeTint="F2"/>
        </w:rPr>
        <w:t>gmx</w:t>
      </w:r>
      <w:proofErr w:type="spellEnd"/>
      <w:r w:rsidR="00F12626" w:rsidRPr="007E5190">
        <w:rPr>
          <w:rFonts w:ascii="Times New Roman" w:hAnsi="Times New Roman" w:cs="Times New Roman"/>
          <w:color w:val="0D0D0D" w:themeColor="text1" w:themeTint="F2"/>
        </w:rPr>
        <w:t xml:space="preserve"> </w:t>
      </w:r>
      <w:proofErr w:type="spellStart"/>
      <w:r w:rsidR="00F12626" w:rsidRPr="007E5190">
        <w:rPr>
          <w:rFonts w:ascii="Times New Roman" w:hAnsi="Times New Roman" w:cs="Times New Roman"/>
          <w:color w:val="0D0D0D" w:themeColor="text1" w:themeTint="F2"/>
        </w:rPr>
        <w:t>mindist</w:t>
      </w:r>
      <w:proofErr w:type="spellEnd"/>
      <w:r w:rsidR="00F12626" w:rsidRPr="007E5190">
        <w:rPr>
          <w:rFonts w:ascii="Times New Roman" w:hAnsi="Times New Roman" w:cs="Times New Roman"/>
          <w:color w:val="0D0D0D" w:themeColor="text1" w:themeTint="F2"/>
        </w:rPr>
        <w:t xml:space="preserve"> tool. </w:t>
      </w:r>
      <w:r w:rsidRPr="007E5190">
        <w:rPr>
          <w:rFonts w:ascii="Times New Roman" w:hAnsi="Times New Roman" w:cs="Times New Roman"/>
          <w:color w:val="0D0D0D" w:themeColor="text1" w:themeTint="F2"/>
        </w:rPr>
        <w:t xml:space="preserve">Advanced dynamic analyses were also performed. Large-scale collective motions were identified through Principal Component Analysis (PCA)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covar</w:t>
      </w:r>
      <w:proofErr w:type="spellEnd"/>
      <w:r w:rsidRPr="007E5190">
        <w:rPr>
          <w:rFonts w:ascii="Times New Roman" w:hAnsi="Times New Roman" w:cs="Times New Roman"/>
          <w:color w:val="0D0D0D" w:themeColor="text1" w:themeTint="F2"/>
        </w:rPr>
        <w:t xml:space="preserve"> and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anaeig</w:t>
      </w:r>
      <w:proofErr w:type="spellEnd"/>
      <w:r w:rsidRPr="007E5190">
        <w:rPr>
          <w:rFonts w:ascii="Times New Roman" w:hAnsi="Times New Roman" w:cs="Times New Roman"/>
          <w:color w:val="0D0D0D" w:themeColor="text1" w:themeTint="F2"/>
        </w:rPr>
        <w:t xml:space="preserve">). A Free Energy Landscape (FEL) was then constructed from the resulting projections via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sham. Separately, correlated residue motions were investigated by calculating a Dynamic Cross-Correlation Matrix (DCCM); this involved converting the covariance matrix from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covar</w:t>
      </w:r>
      <w:proofErr w:type="spellEnd"/>
      <w:r w:rsidRPr="007E5190">
        <w:rPr>
          <w:rFonts w:ascii="Times New Roman" w:hAnsi="Times New Roman" w:cs="Times New Roman"/>
          <w:color w:val="0D0D0D" w:themeColor="text1" w:themeTint="F2"/>
        </w:rPr>
        <w:t xml:space="preserve"> into a visual map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xpm2ps.</w:t>
      </w:r>
    </w:p>
    <w:p w14:paraId="6A4E0399" w14:textId="68B2E97B"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Finally, a representative structure from the most stable cluster of the FEL was extracted and analyzed using the PLIP web server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{"citationID":"060HuVao","properties":{"formattedCitation":"[30]","plainCitation":"[30]","noteIndex":0},"citationItems":[{"id":188,"uris":["http://zotero.org/users/local/GoHQ98fS/items/UDYCRL6M"],"itemData":{"id":188,"type":"article-journal","abstract":"Abstract\n            With the growth of protein structure data, the analysis of molecular interactions between ligands and their target molecules is gaining importance. PLIP, the protein–ligand interaction profiler, detects and visualises these interactions and provides data in formats suitable for further processing. PLIP has proven very successful in applications ranging from the characterisation of docking experiments to the assessment of novel ligand–protein complexes. Besides ligand–protein interactions, interactions with DNA and RNA play a vital role in many applications, such as drugs targeting DNA or RNA-binding proteins. To date, over 7% of all 3D structures in the Protein Data Bank include DNA or RNA. Therefore, we extended PLIP to encompass these important molecules. We demonstrate the power of this extension with examples of a cancer drug binding to a DNA target, and an RNA–protein complex central to a neurological disease. PLIP is available online at https://plip-tool.biotec.tu-dresden.de and as open source code. So far, the engine has served over a million queries and the source code has been downloaded several thousand times.","container-title":"Nucleic Acids Research","DOI":"10.1093/nar/gkab294","ISSN":"0305-1048, 1362-4962","issue":"W1","language":"en","license":"http://creativecommons.org/licenses/by/4.0/","page":"W530-W534","source":"DOI.org (Crossref)","title":"PLIP 2021: expanding the scope of the protein–ligand interaction profiler to DNA and RNA","title-short":"PLIP 2021","URL":"https://academic.oup.com/nar/article/49/W1/W530/6266421","volume":"49","author":[{"family":"Adasme","given":"Melissa F"},{"family":"Linnemann","given":"Katja L"},{"family":"Bolz","given":"Sarah Naomi"},{"family":"Kaiser","given":"Florian"},{"family":"Salentin","given":"Sebastian"},{"family":"Haupt","given":"V Joachim"},{"family":"Schroeder","given":"Michael"}],"accessed":{"date-parts":[["2025",11,2]]},"issued":{"date-parts":[["2021",7,2]]}}}],"schema":"https://github.com/citation-style-language/schema/raw/master/csl-citation.json"}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[30]</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to detail the persistent hydrogen bonds, hydrophobic contacts, and other non-covalent interactions.</w:t>
      </w:r>
    </w:p>
    <w:p w14:paraId="4DECEA1C" w14:textId="77777777" w:rsidR="00F12626" w:rsidRPr="007E5190" w:rsidRDefault="00F12626" w:rsidP="00DD06FA">
      <w:pPr>
        <w:pStyle w:val="Heading2"/>
        <w:rPr>
          <w:rFonts w:cs="Times New Roman"/>
        </w:rPr>
      </w:pPr>
      <w:r w:rsidRPr="007E5190">
        <w:rPr>
          <w:rFonts w:cs="Times New Roman"/>
        </w:rPr>
        <w:t>Binding Free Energy (MM/GBSA) Calculation</w:t>
      </w:r>
    </w:p>
    <w:p w14:paraId="14DE12BC" w14:textId="1941958E" w:rsidR="00F12626" w:rsidRPr="007E5190" w:rsidRDefault="00E76C1F"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Molecular Mechanics/Generalized Born Surface Area (MM/GBSA) method was utilized to calculate the binding free energy </w:t>
      </w:r>
      <w:r w:rsidR="00F12626" w:rsidRPr="007E5190">
        <w:rPr>
          <w:rFonts w:ascii="Times New Roman" w:hAnsi="Times New Roman" w:cs="Times New Roman"/>
          <w:color w:val="0D0D0D" w:themeColor="text1" w:themeTint="F2"/>
        </w:rPr>
        <w:t>(</w:t>
      </w:r>
      <m:oMath>
        <m:r>
          <m:rPr>
            <m:sty m:val="p"/>
          </m:rPr>
          <w:rPr>
            <w:rFonts w:ascii="Cambria Math" w:hAnsi="Cambria Math" w:cs="Times New Roman"/>
            <w:color w:val="0D0D0D" w:themeColor="text1" w:themeTint="F2"/>
          </w:rPr>
          <m:t>Δ</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G</m:t>
            </m:r>
          </m:e>
          <m:sub>
            <m:r>
              <w:rPr>
                <w:rFonts w:ascii="Cambria Math" w:hAnsi="Cambria Math" w:cs="Times New Roman"/>
                <w:color w:val="0D0D0D" w:themeColor="text1" w:themeTint="F2"/>
              </w:rPr>
              <m:t>bind</m:t>
            </m:r>
          </m:sub>
        </m:sSub>
      </m:oMath>
      <w:r w:rsidR="00F12626" w:rsidRPr="007E5190">
        <w:rPr>
          <w:rFonts w:ascii="Times New Roman" w:hAnsi="Times New Roman" w:cs="Times New Roman"/>
          <w:color w:val="0D0D0D" w:themeColor="text1" w:themeTint="F2"/>
        </w:rPr>
        <w:t>)</w:t>
      </w:r>
      <w:r w:rsidRPr="007E5190">
        <w:rPr>
          <w:rFonts w:ascii="Times New Roman" w:hAnsi="Times New Roman" w:cs="Times New Roman"/>
          <w:color w:val="0D0D0D" w:themeColor="text1" w:themeTint="F2"/>
        </w:rPr>
        <w:t>.</w:t>
      </w:r>
      <w:r w:rsidR="00F1262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This calculation is defined as the difference between the free energy of the protein-ligand complex </w:t>
      </w:r>
      <w:r w:rsidR="00F12626" w:rsidRPr="007E5190">
        <w:rPr>
          <w:rFonts w:ascii="Times New Roman" w:hAnsi="Times New Roman" w:cs="Times New Roman"/>
          <w:color w:val="0D0D0D" w:themeColor="text1" w:themeTint="F2"/>
        </w:rPr>
        <w:t>(</w:t>
      </w: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G</m:t>
            </m:r>
          </m:e>
          <m:sub>
            <m:r>
              <w:rPr>
                <w:rFonts w:ascii="Cambria Math" w:hAnsi="Cambria Math" w:cs="Times New Roman"/>
                <w:color w:val="0D0D0D" w:themeColor="text1" w:themeTint="F2"/>
              </w:rPr>
              <m:t>complex</m:t>
            </m:r>
          </m:sub>
        </m:sSub>
      </m:oMath>
      <w:r w:rsidR="00F12626" w:rsidRPr="007E5190">
        <w:rPr>
          <w:rFonts w:ascii="Times New Roman" w:hAnsi="Times New Roman" w:cs="Times New Roman"/>
          <w:color w:val="0D0D0D" w:themeColor="text1" w:themeTint="F2"/>
        </w:rPr>
        <w:t xml:space="preserve">) and the free energy of the </w:t>
      </w:r>
      <w:r w:rsidRPr="007E5190">
        <w:rPr>
          <w:rFonts w:ascii="Times New Roman" w:hAnsi="Times New Roman" w:cs="Times New Roman"/>
          <w:color w:val="0D0D0D" w:themeColor="text1" w:themeTint="F2"/>
        </w:rPr>
        <w:t>isolated</w:t>
      </w:r>
      <w:r w:rsidR="00F12626" w:rsidRPr="007E5190">
        <w:rPr>
          <w:rFonts w:ascii="Times New Roman" w:hAnsi="Times New Roman" w:cs="Times New Roman"/>
          <w:color w:val="0D0D0D" w:themeColor="text1" w:themeTint="F2"/>
        </w:rPr>
        <w:t xml:space="preserve"> receptor (</w:t>
      </w: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G</m:t>
            </m:r>
          </m:e>
          <m:sub>
            <m:r>
              <w:rPr>
                <w:rFonts w:ascii="Cambria Math" w:hAnsi="Cambria Math" w:cs="Times New Roman"/>
                <w:color w:val="0D0D0D" w:themeColor="text1" w:themeTint="F2"/>
              </w:rPr>
              <m:t>receptor</m:t>
            </m:r>
          </m:sub>
        </m:sSub>
      </m:oMath>
      <w:r w:rsidR="00F12626" w:rsidRPr="007E5190">
        <w:rPr>
          <w:rFonts w:ascii="Times New Roman" w:hAnsi="Times New Roman" w:cs="Times New Roman"/>
          <w:color w:val="0D0D0D" w:themeColor="text1" w:themeTint="F2"/>
        </w:rPr>
        <w:t>) and ligand (</w:t>
      </w: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G</m:t>
            </m:r>
          </m:e>
          <m:sub>
            <m:r>
              <w:rPr>
                <w:rFonts w:ascii="Cambria Math" w:hAnsi="Cambria Math" w:cs="Times New Roman"/>
                <w:color w:val="0D0D0D" w:themeColor="text1" w:themeTint="F2"/>
              </w:rPr>
              <m:t>ligand</m:t>
            </m:r>
          </m:sub>
        </m:sSub>
      </m:oMath>
      <w:r w:rsidR="00F12626" w:rsidRPr="007E5190">
        <w:rPr>
          <w:rFonts w:ascii="Times New Roman" w:hAnsi="Times New Roman" w:cs="Times New Roman"/>
          <w:color w:val="0D0D0D" w:themeColor="text1" w:themeTint="F2"/>
        </w:rPr>
        <w:t>):</w:t>
      </w:r>
    </w:p>
    <w:p w14:paraId="2681729E" w14:textId="77777777" w:rsidR="00F12626" w:rsidRPr="007E5190" w:rsidRDefault="00F12626" w:rsidP="00F12626">
      <w:pPr>
        <w:jc w:val="both"/>
        <w:rPr>
          <w:rFonts w:ascii="Times New Roman" w:hAnsi="Times New Roman" w:cs="Times New Roman"/>
          <w:b/>
          <w:bCs/>
          <w:color w:val="0D0D0D" w:themeColor="text1" w:themeTint="F2"/>
        </w:rPr>
      </w:pPr>
      <m:oMathPara>
        <m:oMath>
          <m:r>
            <m:rPr>
              <m:sty m:val="b"/>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bind</m:t>
              </m:r>
            </m:sub>
          </m:sSub>
          <m:r>
            <m:rPr>
              <m:sty m:val="bi"/>
            </m:rPr>
            <w:rPr>
              <w:rFonts w:ascii="Cambria Math" w:hAnsi="Cambria Math" w:cs="Times New Roman"/>
              <w:color w:val="0D0D0D" w:themeColor="text1" w:themeTint="F2"/>
            </w:rPr>
            <m:t xml:space="preserve">= </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complex</m:t>
              </m:r>
            </m:sub>
          </m:sSub>
          <m:r>
            <m:rPr>
              <m:sty m:val="bi"/>
            </m:rPr>
            <w:rPr>
              <w:rFonts w:ascii="Cambria Math" w:hAnsi="Cambria Math" w:cs="Times New Roman"/>
              <w:color w:val="0D0D0D" w:themeColor="text1" w:themeTint="F2"/>
            </w:rPr>
            <m:t xml:space="preserve"> - (</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receptor</m:t>
              </m:r>
            </m:sub>
          </m:sSub>
          <m:r>
            <m:rPr>
              <m:sty m:val="bi"/>
            </m:rPr>
            <w:rPr>
              <w:rFonts w:ascii="Cambria Math" w:hAnsi="Cambria Math" w:cs="Times New Roman"/>
              <w:color w:val="0D0D0D" w:themeColor="text1" w:themeTint="F2"/>
            </w:rPr>
            <m:t xml:space="preserve">+ </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ligand</m:t>
              </m:r>
            </m:sub>
          </m:sSub>
          <m:r>
            <m:rPr>
              <m:sty m:val="bi"/>
            </m:rPr>
            <w:rPr>
              <w:rFonts w:ascii="Cambria Math" w:hAnsi="Cambria Math" w:cs="Times New Roman"/>
              <w:color w:val="0D0D0D" w:themeColor="text1" w:themeTint="F2"/>
            </w:rPr>
            <m:t>)</m:t>
          </m:r>
        </m:oMath>
      </m:oMathPara>
    </w:p>
    <w:p w14:paraId="4F16D357" w14:textId="72E97054" w:rsidR="00F12626" w:rsidRPr="007E5190" w:rsidRDefault="00E76C1F"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lastRenderedPageBreak/>
        <w:t>The free energy of each component is calculated as the sum of its gas-phase molecular mechanics (MM) energy</w:t>
      </w:r>
      <w:r w:rsidR="00F12626" w:rsidRPr="007E5190">
        <w:rPr>
          <w:rFonts w:ascii="Times New Roman" w:hAnsi="Times New Roman" w:cs="Times New Roman"/>
          <w:color w:val="0D0D0D" w:themeColor="text1" w:themeTint="F2"/>
        </w:rPr>
        <w:t xml:space="preserve"> (</w:t>
      </w:r>
      <m:oMath>
        <m:r>
          <m:rPr>
            <m:sty m:val="p"/>
          </m:rPr>
          <w:rPr>
            <w:rFonts w:ascii="Cambria Math" w:hAnsi="Cambria Math" w:cs="Times New Roman"/>
            <w:color w:val="0D0D0D" w:themeColor="text1" w:themeTint="F2"/>
          </w:rPr>
          <m:t>Δ</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E</m:t>
            </m:r>
          </m:e>
          <m:sub>
            <m:r>
              <w:rPr>
                <w:rFonts w:ascii="Cambria Math" w:hAnsi="Cambria Math" w:cs="Times New Roman"/>
                <w:color w:val="0D0D0D" w:themeColor="text1" w:themeTint="F2"/>
              </w:rPr>
              <m:t>MM</m:t>
            </m:r>
          </m:sub>
        </m:sSub>
      </m:oMath>
      <w:r w:rsidR="00F12626" w:rsidRPr="007E5190">
        <w:rPr>
          <w:rFonts w:ascii="Times New Roman" w:hAnsi="Times New Roman" w:cs="Times New Roman"/>
          <w:color w:val="0D0D0D" w:themeColor="text1" w:themeTint="F2"/>
        </w:rPr>
        <w:t xml:space="preserve">), the </w:t>
      </w:r>
      <w:proofErr w:type="gramStart"/>
      <w:r w:rsidR="00F12626" w:rsidRPr="007E5190">
        <w:rPr>
          <w:rFonts w:ascii="Times New Roman" w:hAnsi="Times New Roman" w:cs="Times New Roman"/>
          <w:color w:val="0D0D0D" w:themeColor="text1" w:themeTint="F2"/>
        </w:rPr>
        <w:t>solvation</w:t>
      </w:r>
      <w:proofErr w:type="gramEnd"/>
      <w:r w:rsidR="00F12626" w:rsidRPr="007E5190">
        <w:rPr>
          <w:rFonts w:ascii="Times New Roman" w:hAnsi="Times New Roman" w:cs="Times New Roman"/>
          <w:color w:val="0D0D0D" w:themeColor="text1" w:themeTint="F2"/>
        </w:rPr>
        <w:t xml:space="preserve"> free energy (</w:t>
      </w:r>
      <m:oMath>
        <m:r>
          <m:rPr>
            <m:sty m:val="p"/>
          </m:rPr>
          <w:rPr>
            <w:rFonts w:ascii="Cambria Math" w:hAnsi="Cambria Math" w:cs="Times New Roman"/>
            <w:color w:val="0D0D0D" w:themeColor="text1" w:themeTint="F2"/>
          </w:rPr>
          <m:t>Δ</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G</m:t>
            </m:r>
          </m:e>
          <m:sub>
            <m:r>
              <w:rPr>
                <w:rFonts w:ascii="Cambria Math" w:hAnsi="Cambria Math" w:cs="Times New Roman"/>
                <w:color w:val="0D0D0D" w:themeColor="text1" w:themeTint="F2"/>
              </w:rPr>
              <m:t>solv</m:t>
            </m:r>
          </m:sub>
        </m:sSub>
      </m:oMath>
      <w:r w:rsidR="00F12626" w:rsidRPr="007E5190">
        <w:rPr>
          <w:rFonts w:ascii="Times New Roman" w:hAnsi="Times New Roman" w:cs="Times New Roman"/>
          <w:color w:val="0D0D0D" w:themeColor="text1" w:themeTint="F2"/>
        </w:rPr>
        <w:t>), and an entropic term (</w:t>
      </w:r>
      <m:oMath>
        <m:r>
          <w:rPr>
            <w:rFonts w:ascii="Cambria Math" w:hAnsi="Cambria Math" w:cs="Times New Roman"/>
            <w:color w:val="0D0D0D" w:themeColor="text1" w:themeTint="F2"/>
          </w:rPr>
          <m:t>-T</m:t>
        </m:r>
        <m:r>
          <m:rPr>
            <m:sty m:val="p"/>
          </m:rPr>
          <w:rPr>
            <w:rFonts w:ascii="Cambria Math" w:hAnsi="Cambria Math" w:cs="Times New Roman"/>
            <w:color w:val="0D0D0D" w:themeColor="text1" w:themeTint="F2"/>
          </w:rPr>
          <m:t>Δ</m:t>
        </m:r>
        <m:r>
          <w:rPr>
            <w:rFonts w:ascii="Cambria Math" w:hAnsi="Cambria Math" w:cs="Times New Roman"/>
            <w:color w:val="0D0D0D" w:themeColor="text1" w:themeTint="F2"/>
          </w:rPr>
          <m:t>S</m:t>
        </m:r>
      </m:oMath>
      <w:r w:rsidR="00F12626" w:rsidRPr="007E5190">
        <w:rPr>
          <w:rFonts w:ascii="Times New Roman" w:hAnsi="Times New Roman" w:cs="Times New Roman"/>
          <w:color w:val="0D0D0D" w:themeColor="text1" w:themeTint="F2"/>
        </w:rPr>
        <w:t>). The final binding free energy is commonly expressed as:</w:t>
      </w:r>
    </w:p>
    <w:p w14:paraId="39B6966F" w14:textId="77777777" w:rsidR="00F12626" w:rsidRPr="007E5190" w:rsidRDefault="00F12626" w:rsidP="00F12626">
      <w:pPr>
        <w:jc w:val="both"/>
        <w:rPr>
          <w:rFonts w:ascii="Times New Roman" w:hAnsi="Times New Roman" w:cs="Times New Roman"/>
          <w:b/>
          <w:bCs/>
          <w:color w:val="0D0D0D" w:themeColor="text1" w:themeTint="F2"/>
        </w:rPr>
      </w:pPr>
      <m:oMathPara>
        <m:oMath>
          <m:r>
            <m:rPr>
              <m:sty m:val="b"/>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bind</m:t>
              </m:r>
            </m:sub>
          </m:sSub>
          <m:r>
            <m:rPr>
              <m:sty m:val="bi"/>
            </m:rPr>
            <w:rPr>
              <w:rFonts w:ascii="Cambria Math" w:hAnsi="Cambria Math" w:cs="Times New Roman"/>
              <w:color w:val="0D0D0D" w:themeColor="text1" w:themeTint="F2"/>
            </w:rPr>
            <m:t>=</m:t>
          </m:r>
          <m:r>
            <m:rPr>
              <m:sty m:val="b"/>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E</m:t>
              </m:r>
            </m:e>
            <m:sub>
              <m:r>
                <m:rPr>
                  <m:sty m:val="bi"/>
                </m:rPr>
                <w:rPr>
                  <w:rFonts w:ascii="Cambria Math" w:hAnsi="Cambria Math" w:cs="Times New Roman"/>
                  <w:color w:val="0D0D0D" w:themeColor="text1" w:themeTint="F2"/>
                </w:rPr>
                <m:t>MM</m:t>
              </m:r>
            </m:sub>
          </m:sSub>
          <m:r>
            <m:rPr>
              <m:sty m:val="bi"/>
            </m:rPr>
            <w:rPr>
              <w:rFonts w:ascii="Cambria Math" w:hAnsi="Cambria Math" w:cs="Times New Roman"/>
              <w:color w:val="0D0D0D" w:themeColor="text1" w:themeTint="F2"/>
            </w:rPr>
            <m:t>+</m:t>
          </m:r>
          <m:r>
            <m:rPr>
              <m:sty m:val="b"/>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solv</m:t>
              </m:r>
            </m:sub>
          </m:sSub>
          <m:r>
            <m:rPr>
              <m:sty m:val="bi"/>
            </m:rPr>
            <w:rPr>
              <w:rFonts w:ascii="Cambria Math" w:hAnsi="Cambria Math" w:cs="Times New Roman"/>
              <w:color w:val="0D0D0D" w:themeColor="text1" w:themeTint="F2"/>
            </w:rPr>
            <m:t>- T</m:t>
          </m:r>
          <m:r>
            <m:rPr>
              <m:sty m:val="b"/>
            </m:rPr>
            <w:rPr>
              <w:rFonts w:ascii="Cambria Math" w:hAnsi="Cambria Math" w:cs="Times New Roman"/>
              <w:color w:val="0D0D0D" w:themeColor="text1" w:themeTint="F2"/>
            </w:rPr>
            <m:t>Δ</m:t>
          </m:r>
          <m:r>
            <m:rPr>
              <m:sty m:val="bi"/>
            </m:rPr>
            <w:rPr>
              <w:rFonts w:ascii="Cambria Math" w:hAnsi="Cambria Math" w:cs="Times New Roman"/>
              <w:color w:val="0D0D0D" w:themeColor="text1" w:themeTint="F2"/>
            </w:rPr>
            <m:t>S</m:t>
          </m:r>
        </m:oMath>
      </m:oMathPara>
    </w:p>
    <w:p w14:paraId="2CB5F465" w14:textId="6FC23E15" w:rsidR="00F12626" w:rsidRPr="007E5190" w:rsidRDefault="00E76C1F"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An effective binding free energy </w:t>
      </w:r>
      <w:r w:rsidRPr="007E5190">
        <w:rPr>
          <w:rFonts w:ascii="Times New Roman" w:hAnsi="Times New Roman" w:cs="Times New Roman"/>
          <w:b/>
          <w:bCs/>
          <w:color w:val="0D0D0D" w:themeColor="text1" w:themeTint="F2"/>
        </w:rPr>
        <w:t>was calculated</w:t>
      </w:r>
      <w:r w:rsidRPr="007E5190">
        <w:rPr>
          <w:rFonts w:ascii="Times New Roman" w:hAnsi="Times New Roman" w:cs="Times New Roman"/>
          <w:color w:val="0D0D0D" w:themeColor="text1" w:themeTint="F2"/>
        </w:rPr>
        <w:t xml:space="preserve">. This </w:t>
      </w:r>
      <w:r w:rsidRPr="007E5190">
        <w:rPr>
          <w:rFonts w:ascii="Times New Roman" w:hAnsi="Times New Roman" w:cs="Times New Roman"/>
          <w:b/>
          <w:bCs/>
          <w:color w:val="0D0D0D" w:themeColor="text1" w:themeTint="F2"/>
        </w:rPr>
        <w:t>was done</w:t>
      </w:r>
      <w:r w:rsidRPr="007E5190">
        <w:rPr>
          <w:rFonts w:ascii="Times New Roman" w:hAnsi="Times New Roman" w:cs="Times New Roman"/>
          <w:color w:val="0D0D0D" w:themeColor="text1" w:themeTint="F2"/>
        </w:rPr>
        <w:t xml:space="preserve"> because the entropic contribution (</w:t>
      </w:r>
      <m:oMath>
        <m:r>
          <w:rPr>
            <w:rFonts w:ascii="Cambria Math" w:hAnsi="Cambria Math" w:cs="Times New Roman"/>
            <w:color w:val="0D0D0D" w:themeColor="text1" w:themeTint="F2"/>
          </w:rPr>
          <m:t>-T</m:t>
        </m:r>
        <m:r>
          <m:rPr>
            <m:sty m:val="p"/>
          </m:rPr>
          <w:rPr>
            <w:rFonts w:ascii="Cambria Math" w:hAnsi="Cambria Math" w:cs="Times New Roman"/>
            <w:color w:val="0D0D0D" w:themeColor="text1" w:themeTint="F2"/>
          </w:rPr>
          <m:t>Δ</m:t>
        </m:r>
        <m:r>
          <w:rPr>
            <w:rFonts w:ascii="Cambria Math" w:hAnsi="Cambria Math" w:cs="Times New Roman"/>
            <w:color w:val="0D0D0D" w:themeColor="text1" w:themeTint="F2"/>
          </w:rPr>
          <m:t>S</m:t>
        </m:r>
      </m:oMath>
      <w:r w:rsidR="00F1262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is computationally demanding and often similar for related ligands, making it acceptable to exclude for relative ranking studies. </w:t>
      </w:r>
      <w:r w:rsidR="00DE02D0" w:rsidRPr="007E5190">
        <w:rPr>
          <w:rFonts w:ascii="Times New Roman" w:hAnsi="Times New Roman" w:cs="Times New Roman"/>
          <w:color w:val="0D0D0D" w:themeColor="text1" w:themeTint="F2"/>
        </w:rPr>
        <w:t xml:space="preserve">The </w:t>
      </w:r>
      <w:r w:rsidR="00F12626" w:rsidRPr="007E5190">
        <w:rPr>
          <w:rFonts w:ascii="Times New Roman" w:hAnsi="Times New Roman" w:cs="Times New Roman"/>
          <w:color w:val="0D0D0D" w:themeColor="text1" w:themeTint="F2"/>
        </w:rPr>
        <w:t>equation</w:t>
      </w:r>
      <w:r w:rsidR="00DE02D0" w:rsidRPr="007E5190">
        <w:rPr>
          <w:rFonts w:ascii="Times New Roman" w:hAnsi="Times New Roman" w:cs="Times New Roman"/>
          <w:color w:val="0D0D0D" w:themeColor="text1" w:themeTint="F2"/>
        </w:rPr>
        <w:t xml:space="preserve"> for effective binding free energy</w:t>
      </w:r>
      <w:r w:rsidR="00F12626" w:rsidRPr="007E5190">
        <w:rPr>
          <w:rFonts w:ascii="Times New Roman" w:hAnsi="Times New Roman" w:cs="Times New Roman"/>
          <w:color w:val="0D0D0D" w:themeColor="text1" w:themeTint="F2"/>
        </w:rPr>
        <w:t>:</w:t>
      </w:r>
    </w:p>
    <w:p w14:paraId="5B6D98E3" w14:textId="77777777" w:rsidR="00F12626" w:rsidRPr="007E5190" w:rsidRDefault="00F12626" w:rsidP="00F12626">
      <w:pPr>
        <w:jc w:val="both"/>
        <w:rPr>
          <w:rFonts w:ascii="Times New Roman" w:hAnsi="Times New Roman" w:cs="Times New Roman"/>
          <w:b/>
          <w:bCs/>
          <w:color w:val="0D0D0D" w:themeColor="text1" w:themeTint="F2"/>
        </w:rPr>
      </w:pPr>
      <m:oMathPara>
        <m:oMath>
          <m:r>
            <m:rPr>
              <m:sty m:val="b"/>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bind</m:t>
              </m:r>
            </m:sub>
          </m:sSub>
          <m:r>
            <m:rPr>
              <m:sty m:val="bi"/>
            </m:rPr>
            <w:rPr>
              <w:rFonts w:ascii="Cambria Math" w:hAnsi="Cambria Math" w:cs="Times New Roman"/>
              <w:color w:val="0D0D0D" w:themeColor="text1" w:themeTint="F2"/>
            </w:rPr>
            <m:t>=</m:t>
          </m:r>
          <m:r>
            <m:rPr>
              <m:sty m:val="b"/>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E</m:t>
              </m:r>
            </m:e>
            <m:sub>
              <m:r>
                <m:rPr>
                  <m:sty m:val="bi"/>
                </m:rPr>
                <w:rPr>
                  <w:rFonts w:ascii="Cambria Math" w:hAnsi="Cambria Math" w:cs="Times New Roman"/>
                  <w:color w:val="0D0D0D" w:themeColor="text1" w:themeTint="F2"/>
                </w:rPr>
                <m:t>vdw</m:t>
              </m:r>
            </m:sub>
          </m:sSub>
          <m:r>
            <m:rPr>
              <m:sty m:val="bi"/>
            </m:rPr>
            <w:rPr>
              <w:rFonts w:ascii="Cambria Math" w:hAnsi="Cambria Math" w:cs="Times New Roman"/>
              <w:color w:val="0D0D0D" w:themeColor="text1" w:themeTint="F2"/>
            </w:rPr>
            <m:t>+</m:t>
          </m:r>
          <m:r>
            <m:rPr>
              <m:sty m:val="b"/>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E</m:t>
              </m:r>
            </m:e>
            <m:sub>
              <m:r>
                <m:rPr>
                  <m:sty m:val="bi"/>
                </m:rPr>
                <w:rPr>
                  <w:rFonts w:ascii="Cambria Math" w:hAnsi="Cambria Math" w:cs="Times New Roman"/>
                  <w:color w:val="0D0D0D" w:themeColor="text1" w:themeTint="F2"/>
                </w:rPr>
                <m:t>elec</m:t>
              </m:r>
            </m:sub>
          </m:sSub>
          <m:r>
            <m:rPr>
              <m:sty m:val="bi"/>
            </m:rPr>
            <w:rPr>
              <w:rFonts w:ascii="Cambria Math" w:hAnsi="Cambria Math" w:cs="Times New Roman"/>
              <w:color w:val="0D0D0D" w:themeColor="text1" w:themeTint="F2"/>
            </w:rPr>
            <m:t>+</m:t>
          </m:r>
          <m:r>
            <m:rPr>
              <m:sty m:val="b"/>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GB</m:t>
              </m:r>
            </m:sub>
          </m:sSub>
          <m:r>
            <m:rPr>
              <m:sty m:val="bi"/>
            </m:rPr>
            <w:rPr>
              <w:rFonts w:ascii="Cambria Math" w:hAnsi="Cambria Math" w:cs="Times New Roman"/>
              <w:color w:val="0D0D0D" w:themeColor="text1" w:themeTint="F2"/>
            </w:rPr>
            <m:t xml:space="preserve"> +</m:t>
          </m:r>
          <m:r>
            <m:rPr>
              <m:sty m:val="b"/>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non-polar</m:t>
              </m:r>
            </m:sub>
          </m:sSub>
        </m:oMath>
      </m:oMathPara>
    </w:p>
    <w:p w14:paraId="168F2046" w14:textId="173D7301" w:rsidR="00F12626" w:rsidRPr="007E5190" w:rsidRDefault="00F12626"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w:t>
      </w:r>
      <w:proofErr w:type="spellStart"/>
      <w:r w:rsidRPr="007E5190">
        <w:rPr>
          <w:rFonts w:ascii="Times New Roman" w:hAnsi="Times New Roman" w:cs="Times New Roman"/>
          <w:color w:val="0D0D0D" w:themeColor="text1" w:themeTint="F2"/>
        </w:rPr>
        <w:t>gmx_MMPBSA</w:t>
      </w:r>
      <w:proofErr w:type="spellEnd"/>
      <w:r w:rsidRPr="007E5190">
        <w:rPr>
          <w:rFonts w:ascii="Times New Roman" w:hAnsi="Times New Roman" w:cs="Times New Roman"/>
          <w:color w:val="0D0D0D" w:themeColor="text1" w:themeTint="F2"/>
        </w:rPr>
        <w:t xml:space="preserve"> tool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{"citationID":"86aGG7vM","properties":{"formattedCitation":"[49]","plainCitation":"[49]","noteIndex":0},"citationItems":[{"id":222,"uris":["http://zotero.org/users/local/GoHQ98fS/items/F9VSLETV"],"itemData":{"id":222,"type":"article-journal","container-title":"Journal of Chemical Theory and Computation","DOI":"10.1021/acs.jctc.1c00645","ISSN":"1549-9618","issue":"10","journalAbbreviation":"J. Chem. Theory Comput.","note":"publisher: American Chemical Society","page":"6281-6291","title":"gmx_MMPBSA: A New Tool to Perform End-State Free Energy Calculations with GROMACS","URL":"https://doi.org/10.1021/acs.jctc.1c00645","volume":"17","author":[{"family":"Valdés-Tresanco","given":"Mario S."},{"family":"Valdés-Tresanco","given":"Mario E."},{"family":"Valiente","given":"Pedro A."},{"family":"Moreno","given":"Ernesto"}],"issued":{"date-parts":[["2021",10,12]]}}}],"schema":"https://github.com/citation-style-language/schema/raw/master/csl-citation.json"}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[49]</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which is an external package compatible with GROMACS [38] trajectories and AMBER topologies</w:t>
      </w:r>
      <w:r w:rsidR="00DE02D0" w:rsidRPr="007E5190">
        <w:rPr>
          <w:rFonts w:ascii="Times New Roman" w:hAnsi="Times New Roman" w:cs="Times New Roman"/>
          <w:color w:val="0D0D0D" w:themeColor="text1" w:themeTint="F2"/>
        </w:rPr>
        <w:t xml:space="preserve"> was used for this calculation</w:t>
      </w:r>
      <w:r w:rsidRPr="007E5190">
        <w:rPr>
          <w:rFonts w:ascii="Times New Roman" w:hAnsi="Times New Roman" w:cs="Times New Roman"/>
          <w:color w:val="0D0D0D" w:themeColor="text1" w:themeTint="F2"/>
        </w:rPr>
        <w:t>. The binding free energy [50] (</w:t>
      </w:r>
      <m:oMath>
        <m:r>
          <m:rPr>
            <m:sty m:val="p"/>
          </m:rPr>
          <w:rPr>
            <w:rFonts w:ascii="Cambria Math" w:hAnsi="Cambria Math" w:cs="Times New Roman"/>
            <w:color w:val="0D0D0D" w:themeColor="text1" w:themeTint="F2"/>
          </w:rPr>
          <m:t>Δ</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G</m:t>
            </m:r>
          </m:e>
          <m:sub>
            <m:r>
              <w:rPr>
                <w:rFonts w:ascii="Cambria Math" w:hAnsi="Cambria Math" w:cs="Times New Roman"/>
                <w:color w:val="0D0D0D" w:themeColor="text1" w:themeTint="F2"/>
              </w:rPr>
              <m:t>bind</m:t>
            </m:r>
          </m:sub>
        </m:sSub>
      </m:oMath>
      <w:r w:rsidRPr="007E5190">
        <w:rPr>
          <w:rFonts w:ascii="Times New Roman" w:hAnsi="Times New Roman" w:cs="Times New Roman"/>
          <w:color w:val="0D0D0D" w:themeColor="text1" w:themeTint="F2"/>
        </w:rPr>
        <w:t xml:space="preserve">) was </w:t>
      </w:r>
      <w:r w:rsidR="00DE02D0" w:rsidRPr="007E5190">
        <w:rPr>
          <w:rFonts w:ascii="Times New Roman" w:hAnsi="Times New Roman" w:cs="Times New Roman"/>
          <w:color w:val="0D0D0D" w:themeColor="text1" w:themeTint="F2"/>
        </w:rPr>
        <w:t>determined</w:t>
      </w:r>
      <w:r w:rsidRPr="007E5190">
        <w:rPr>
          <w:rFonts w:ascii="Times New Roman" w:hAnsi="Times New Roman" w:cs="Times New Roman"/>
          <w:color w:val="0D0D0D" w:themeColor="text1" w:themeTint="F2"/>
        </w:rPr>
        <w:t xml:space="preserve"> by analyzing 501 frames</w:t>
      </w:r>
      <w:r w:rsidR="00DE02D0" w:rsidRPr="007E5190">
        <w:rPr>
          <w:rFonts w:ascii="Times New Roman" w:hAnsi="Times New Roman" w:cs="Times New Roman"/>
          <w:color w:val="0D0D0D" w:themeColor="text1" w:themeTint="F2"/>
        </w:rPr>
        <w:t>, which were</w:t>
      </w:r>
      <w:r w:rsidRPr="007E5190">
        <w:rPr>
          <w:rFonts w:ascii="Times New Roman" w:hAnsi="Times New Roman" w:cs="Times New Roman"/>
          <w:color w:val="0D0D0D" w:themeColor="text1" w:themeTint="F2"/>
        </w:rPr>
        <w:t xml:space="preserve"> extracted at 20-frame intervals from the first 100 ns of the production trajectory. </w:t>
      </w:r>
      <w:r w:rsidR="00DE02D0" w:rsidRPr="007E5190">
        <w:rPr>
          <w:rFonts w:ascii="Times New Roman" w:hAnsi="Times New Roman" w:cs="Times New Roman"/>
          <w:color w:val="0D0D0D" w:themeColor="text1" w:themeTint="F2"/>
        </w:rPr>
        <w:t>For the implicit solvent, the Generalized Born (GB) model was</w:t>
      </w:r>
      <w:r w:rsidR="00DE02D0" w:rsidRPr="007E5190">
        <w:rPr>
          <w:rFonts w:ascii="Times New Roman" w:hAnsi="Times New Roman" w:cs="Times New Roman"/>
          <w:b/>
          <w:bCs/>
          <w:color w:val="0D0D0D" w:themeColor="text1" w:themeTint="F2"/>
        </w:rPr>
        <w:t xml:space="preserve"> </w:t>
      </w:r>
      <w:r w:rsidR="00DE02D0" w:rsidRPr="007E5190">
        <w:rPr>
          <w:rFonts w:ascii="Times New Roman" w:hAnsi="Times New Roman" w:cs="Times New Roman"/>
          <w:color w:val="0D0D0D" w:themeColor="text1" w:themeTint="F2"/>
        </w:rPr>
        <w:t xml:space="preserve">utilized </w:t>
      </w:r>
      <w:proofErr w:type="spellStart"/>
      <w:r w:rsidR="00DE02D0" w:rsidRPr="007E5190">
        <w:rPr>
          <w:rFonts w:ascii="Times New Roman" w:hAnsi="Times New Roman" w:cs="Times New Roman"/>
          <w:color w:val="0D0D0D" w:themeColor="text1" w:themeTint="F2"/>
        </w:rPr>
        <w:t>igb</w:t>
      </w:r>
      <w:proofErr w:type="spellEnd"/>
      <w:r w:rsidR="00DE02D0" w:rsidRPr="007E5190">
        <w:rPr>
          <w:rFonts w:ascii="Times New Roman" w:hAnsi="Times New Roman" w:cs="Times New Roman"/>
          <w:color w:val="0D0D0D" w:themeColor="text1" w:themeTint="F2"/>
        </w:rPr>
        <w:t xml:space="preserve">=5, corresponding to GB-OBC2  </w:t>
      </w:r>
      <w:r w:rsidRPr="007E5190">
        <w:rPr>
          <w:rFonts w:ascii="Times New Roman" w:hAnsi="Times New Roman" w:cs="Times New Roman"/>
          <w:color w:val="0D0D0D" w:themeColor="text1" w:themeTint="F2"/>
        </w:rPr>
        <w:fldChar w:fldCharType="begin"/>
      </w:r>
      <w:r w:rsidRPr="007E5190">
        <w:rPr>
          <w:rFonts w:ascii="Times New Roman" w:hAnsi="Times New Roman" w:cs="Times New Roman"/>
          <w:color w:val="0D0D0D" w:themeColor="text1" w:themeTint="F2"/>
        </w:rPr>
        <w:instrText xml:space="preserve"> ADDIN ZOTERO_ITEM CSL_CITATION {"citationID":"bgSd2NjC","properties":{"formattedCitation":"[50]","plainCitation":"[50]","noteIndex":0},"citationItems":[{"id":224,"uris":["http://zotero.org/users/local/GoHQ98fS/items/HS94MYTH"],"itemData":{"id":224,"type":"article-journal","abstract":"Abstract\n            \n              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Amber\n              ff99\n              force field, which yields stable native trajectories for all of the tested proteins, with backbone root‐mean‐square deviations from the native structures being </w:instrText>
      </w:r>
      <w:r w:rsidRPr="007E5190">
        <w:rPr>
          <w:rFonts w:ascii="Cambria Math" w:hAnsi="Cambria Math" w:cs="Cambria Math"/>
          <w:color w:val="0D0D0D" w:themeColor="text1" w:themeTint="F2"/>
        </w:rPr>
        <w:instrText>∼</w:instrText>
      </w:r>
      <w:r w:rsidRPr="007E5190">
        <w:rPr>
          <w:rFonts w:ascii="Times New Roman" w:hAnsi="Times New Roman" w:cs="Times New Roman"/>
          <w:color w:val="0D0D0D" w:themeColor="text1" w:themeTint="F2"/>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Bioinformatics","DOI":"10.1002/prot.20033","ISSN":"0887-3585, 1097-0134","issue":"2","journalAbbreviation":"Proteins","language":"en","license":"http://onlinelibrary.wiley.com/termsAndConditions#vor","page":"383-394","source":"DOI.org (Crossref)","title":"Exploring protein native states and large‐scale conformational changes with a modified generalized born model","URL":"https://onlinelibrary.wiley.com/doi/10.1002/prot.20033","volume":"55","author":[{"family":"Onufriev","given":"Alexey"},{"family":"Bashford","given":"Donald"},{"family":"Case","given":"David A."}],"accessed":{"date-parts":[["2025",11,2]]},"issued":{"date-parts":[["2004",5]]}}}],"schema":"https://github.com/citation-style-language/schema/raw/master/csl-citation.json"} </w:instrText>
      </w:r>
      <w:r w:rsidRPr="007E5190">
        <w:rPr>
          <w:rFonts w:ascii="Times New Roman" w:hAnsi="Times New Roman" w:cs="Times New Roman"/>
          <w:color w:val="0D0D0D" w:themeColor="text1" w:themeTint="F2"/>
        </w:rPr>
        <w:fldChar w:fldCharType="separate"/>
      </w:r>
      <w:r w:rsidRPr="007E5190">
        <w:rPr>
          <w:rFonts w:ascii="Times New Roman" w:hAnsi="Times New Roman" w:cs="Times New Roman"/>
          <w:color w:val="0D0D0D" w:themeColor="text1" w:themeTint="F2"/>
        </w:rPr>
        <w:t>[50]</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with a salt concentration of 0.150 M.</w:t>
      </w:r>
    </w:p>
    <w:p w14:paraId="0BD5CED0" w14:textId="77777777" w:rsidR="00F12626" w:rsidRPr="007E5190" w:rsidRDefault="00F12626" w:rsidP="00DD06FA">
      <w:pPr>
        <w:pStyle w:val="Heading2"/>
        <w:rPr>
          <w:rFonts w:cs="Times New Roman"/>
        </w:rPr>
      </w:pPr>
      <w:r w:rsidRPr="007E5190">
        <w:rPr>
          <w:rFonts w:cs="Times New Roman"/>
        </w:rPr>
        <w:t>Density Functional Theory (DFT) Analysis</w:t>
      </w:r>
    </w:p>
    <w:p w14:paraId="34F0F886" w14:textId="0CCD5ABB" w:rsidR="00D03A6A" w:rsidRPr="007E5190" w:rsidRDefault="00DE02D0"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Quantum mechanical calculations were performed with the ORCA (v5.0.4) computational chemistry package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{"citationID":"r27w0icK","properties":{"formattedCitation":"[51]","plainCitation":"[51]","noteIndex":0},"citationItems":[{"id":73,"uris":["http://zotero.org/users/local/GoHQ98fS/items/2JPBD34H"],"itemData":{"id":73,"type":"article-journal","container-title":"WIRES Comput. Molec. Sci.","DOI":"10.1002/wcms.81","issue":"1","note":"type: journal Article","page":"73-78","title":"The ORCA program system","volume":"2","author":[{"family":"Neese","given":"F."}],"issued":{"date-parts":[["2012"]]}}}],"schema":"https://github.com/citation-style-language/schema/raw/master/csl-citation.json"}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[51]</w:t>
      </w:r>
      <w:r w:rsidR="00F12626"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w:t>
      </w:r>
      <w:r w:rsidR="00F1262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This was done to investigate the electronic properties and inherent chemical reactivity of the four lead compounds. Geometry optimization was first performed on the 3D structure of each ligand (as extracted from its complex)</w:t>
      </w:r>
      <w:r w:rsidR="00F1262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The optimization was conducted at the Density Functional Theory (DFT) level. The selected parameters included the B3LYP </w:t>
      </w:r>
      <w:r w:rsidR="00F12626" w:rsidRPr="007E5190">
        <w:rPr>
          <w:rFonts w:ascii="Times New Roman" w:hAnsi="Times New Roman" w:cs="Times New Roman"/>
          <w:color w:val="0D0D0D" w:themeColor="text1" w:themeTint="F2"/>
        </w:rPr>
        <w:fldChar w:fldCharType="begin"/>
      </w:r>
      <w:r w:rsidR="00F12626" w:rsidRPr="007E5190">
        <w:rPr>
          <w:rFonts w:ascii="Times New Roman" w:hAnsi="Times New Roman" w:cs="Times New Roman"/>
          <w:color w:val="0D0D0D" w:themeColor="text1" w:themeTint="F2"/>
        </w:rPr>
        <w:instrText xml:space="preserve"> ADDIN ZOTERO_ITEM CSL_CITATION {"citationID":"XyqNlWpo","properties":{"formattedCitation":"[52,53]","plainCitation":"[52,53]","noteIndex":0},"citationItems":[{"id":230,"uris":["http://zotero.org/users/local/GoHQ98fS/items/RG9KWWN8"],"itemData":{"id":230,"type":"article-journal","abstract":"Previous attempts to combine Hartree–Fock theory with local density-functional theory have been unsuccessful in applications to molecular bonding. We derive a new coupling of these two theories that maintains their simplicity and computational efficiency, and yet greatly improves their predictive power. Very encouraging results of tests on atomization energies, ionization potentials, and proton affinities are reported, and the potential for future development is discussed.","container-title":"The Journal of Chemical Physics","DOI":"10.1063/1.464304","ISSN":"0021-9606, 1089-7690","issue":"2","language":"en","page":"1372-1377","source":"DOI.org (Crossref)","title":"A new mixing of Hartree–Fock and local density-functional theories","URL":"https://pubs.aip.org/jcp/article/98/2/1372/821432/A-new-mixing-of-Hartree-Fock-and-local-density","volume":"98","author":[{"family":"Becke","given":"Axel D."}],"accessed":{"date-parts":[["2025",11,2]]},"issued":{"date-parts":[["1993",1,15]]}}},{"id":231,"uris":["http://zotero.org/users/local/GoHQ98fS/items/E82DXY48"],"itemData":{"id":231,"type":"article-journal","container-title":"Physical Review B","DOI":"10.1103/PhysRevB.37.785","ISSN":"0163-1829","issue":"2","journalAbbreviation":"Phys. Rev. B","language":"en","license":"http://link.aps.org/licenses/aps-default-license","page":"785-789","source":"DOI.org (Crossref)","title":"Development of the Colle-Salvetti correlation-energy formula into a functional of the electron density","URL":"https://link.aps.org/doi/10.1103/PhysRevB.37.785","volume":"37","author":[{"family":"Lee","given":"Chengteh"},{"family":"Yang","given":"Weitao"},{"family":"Parr","given":"Robert G."}],"accessed":{"date-parts":[["2025",11,2]]},"issued":{"date-parts":[["1988",1,15]]}}}],"schema":"https://github.com/citation-style-language/schema/raw/master/csl-citation.json"} </w:instrText>
      </w:r>
      <w:r w:rsidR="00F12626" w:rsidRPr="007E5190">
        <w:rPr>
          <w:rFonts w:ascii="Times New Roman" w:hAnsi="Times New Roman" w:cs="Times New Roman"/>
          <w:color w:val="0D0D0D" w:themeColor="text1" w:themeTint="F2"/>
        </w:rPr>
        <w:fldChar w:fldCharType="separate"/>
      </w:r>
      <w:r w:rsidR="00F12626" w:rsidRPr="007E5190">
        <w:rPr>
          <w:rFonts w:ascii="Times New Roman" w:hAnsi="Times New Roman" w:cs="Times New Roman"/>
          <w:color w:val="0D0D0D" w:themeColor="text1" w:themeTint="F2"/>
        </w:rPr>
        <w:t>[52,53]</w:t>
      </w:r>
      <w:r w:rsidR="00F12626" w:rsidRPr="007E5190">
        <w:rPr>
          <w:rFonts w:ascii="Times New Roman" w:hAnsi="Times New Roman" w:cs="Times New Roman"/>
          <w:color w:val="0D0D0D" w:themeColor="text1" w:themeTint="F2"/>
        </w:rPr>
        <w:fldChar w:fldCharType="end"/>
      </w:r>
      <w:r w:rsidR="00F12626" w:rsidRPr="007E5190">
        <w:rPr>
          <w:rFonts w:ascii="Times New Roman" w:hAnsi="Times New Roman" w:cs="Times New Roman"/>
          <w:color w:val="0D0D0D" w:themeColor="text1" w:themeTint="F2"/>
        </w:rPr>
        <w:t xml:space="preserve"> functional,</w:t>
      </w:r>
      <w:r w:rsidRPr="007E5190">
        <w:rPr>
          <w:rFonts w:ascii="Times New Roman" w:hAnsi="Times New Roman" w:cs="Times New Roman"/>
          <w:color w:val="0D0D0D" w:themeColor="text1" w:themeTint="F2"/>
        </w:rPr>
        <w:t xml:space="preserve"> and the def2-SVP </w:t>
      </w:r>
      <w:r w:rsidRPr="007E5190">
        <w:rPr>
          <w:rFonts w:ascii="Times New Roman" w:hAnsi="Times New Roman" w:cs="Times New Roman"/>
          <w:color w:val="0D0D0D" w:themeColor="text1" w:themeTint="F2"/>
        </w:rPr>
        <w:fldChar w:fldCharType="begin"/>
      </w:r>
      <w:r w:rsidR="00FF6DAC" w:rsidRPr="007E5190">
        <w:rPr>
          <w:rFonts w:ascii="Times New Roman" w:hAnsi="Times New Roman" w:cs="Times New Roman"/>
          <w:color w:val="0D0D0D" w:themeColor="text1" w:themeTint="F2"/>
        </w:rPr>
        <w:instrText xml:space="preserve"> ADDIN ZOTERO_ITEM CSL_CITATION {"citationID":"ECqzVqFj","properties":{"formattedCitation":"[54]","plainCitation":"[54]","noteIndex":0},"citationItems":[{"id":233,"uris":["http://zotero.org/users/local/GoHQ98fS/items/66AJI4YP"],"itemData":{"id":233,"type":"article-journal","container-title":"Physical Chemistry Chemical Physics","DOI":"10.1039/b508541a","ISSN":"1463-9076, 1463-9084","issue":"18","journalAbbreviation":"Phys. Chem. Chem. Phys.","language":"en","page":"3297","source":"DOI.org (Crossref)","title":"Balanced basis sets of split valence, triple zeta valence and quadruple zeta valence quality for H to Rn: Design and assessment of accuracy","title-short":"Balanced basis sets of split valence, triple zeta valence and quadruple zeta valence quality for H to Rn","URL":"https://xlink.rsc.org/?DOI=b508541a","volume":"7","author":[{"family":"Weigend","given":"Florian"},{"family":"Ahlrichs","given":"Reinhart"}],"accessed":{"date-parts":[["2025",11,2]]},"issued":{"date-parts":[["2005"]]}}}],"schema":"https://github.com/citation-style-language/schema/raw/master/csl-citation.json"} </w:instrText>
      </w:r>
      <w:r w:rsidRPr="007E5190">
        <w:rPr>
          <w:rFonts w:ascii="Times New Roman" w:hAnsi="Times New Roman" w:cs="Times New Roman"/>
          <w:color w:val="0D0D0D" w:themeColor="text1" w:themeTint="F2"/>
        </w:rPr>
        <w:fldChar w:fldCharType="separate"/>
      </w:r>
      <w:r w:rsidR="00FF6DAC" w:rsidRPr="007E5190">
        <w:rPr>
          <w:rFonts w:ascii="Times New Roman" w:hAnsi="Times New Roman" w:cs="Times New Roman"/>
        </w:rPr>
        <w:t>[54]</w:t>
      </w:r>
      <w:r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basis set </w:t>
      </w:r>
      <w:r w:rsidR="002218FF" w:rsidRPr="007E5190">
        <w:rPr>
          <w:rFonts w:ascii="Times New Roman" w:hAnsi="Times New Roman" w:cs="Times New Roman"/>
          <w:color w:val="0D0D0D" w:themeColor="text1" w:themeTint="F2"/>
        </w:rPr>
        <w:t xml:space="preserve">with the D3 dispersion correction </w:t>
      </w:r>
      <w:r w:rsidR="002218FF" w:rsidRPr="007E5190">
        <w:rPr>
          <w:rFonts w:ascii="Times New Roman" w:hAnsi="Times New Roman" w:cs="Times New Roman"/>
          <w:color w:val="0D0D0D" w:themeColor="text1" w:themeTint="F2"/>
        </w:rPr>
        <w:fldChar w:fldCharType="begin"/>
      </w:r>
      <w:r w:rsidR="002218FF" w:rsidRPr="007E5190">
        <w:rPr>
          <w:rFonts w:ascii="Times New Roman" w:hAnsi="Times New Roman" w:cs="Times New Roman"/>
          <w:color w:val="0D0D0D" w:themeColor="text1" w:themeTint="F2"/>
        </w:rPr>
        <w:instrText xml:space="preserve"> ADDIN ZOTERO_ITEM CSL_CITATION {"citationID":"2COzpzhh","properties":{"formattedCitation":"[55]","plainCitation":"[55]","noteIndex":0},"citationItems":[{"id":67,"uris":["http://zotero.org/users/local/GoHQ98fS/items/KSCQ782Y"],"itemData":{"id":67,"type":"article-journal","container-title":"J. Chem. Phys.","DOI":"10.1063/1.3382344","note":"type: journal Article","page":"154104","title":"A consistent and accurate ab initio parametrization of density functional dispersion correction (DFT-D) for the 94 elements H-Pu","volume":"132","author":[{"family":"Grimme","given":"S."},{"family":"Antony","given":"J."},{"family":"Ehrlich","given":"S."},{"family":"Krieg","given":"H."}],"issued":{"date-parts":[["2010"]]}}}],"schema":"https://github.com/citation-style-language/schema/raw/master/csl-citation.json"} </w:instrText>
      </w:r>
      <w:r w:rsidR="002218FF" w:rsidRPr="007E5190">
        <w:rPr>
          <w:rFonts w:ascii="Times New Roman" w:hAnsi="Times New Roman" w:cs="Times New Roman"/>
          <w:color w:val="0D0D0D" w:themeColor="text1" w:themeTint="F2"/>
        </w:rPr>
        <w:fldChar w:fldCharType="separate"/>
      </w:r>
      <w:r w:rsidR="002218FF" w:rsidRPr="007E5190">
        <w:rPr>
          <w:rFonts w:ascii="Times New Roman" w:hAnsi="Times New Roman" w:cs="Times New Roman"/>
        </w:rPr>
        <w:t>[55]</w:t>
      </w:r>
      <w:r w:rsidR="002218FF" w:rsidRPr="007E5190">
        <w:rPr>
          <w:rFonts w:ascii="Times New Roman" w:hAnsi="Times New Roman" w:cs="Times New Roman"/>
          <w:color w:val="0D0D0D" w:themeColor="text1" w:themeTint="F2"/>
        </w:rPr>
        <w:fldChar w:fldCharType="end"/>
      </w:r>
      <w:r w:rsidR="002218FF"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denoted a</w:t>
      </w:r>
      <w:r w:rsidR="0065564A" w:rsidRPr="007E5190">
        <w:rPr>
          <w:rFonts w:ascii="Times New Roman" w:hAnsi="Times New Roman" w:cs="Times New Roman"/>
          <w:color w:val="0D0D0D" w:themeColor="text1" w:themeTint="F2"/>
        </w:rPr>
        <w:t>s</w:t>
      </w:r>
      <w:r w:rsidR="00D7341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B3LYP-D3/def2-SVP).</w:t>
      </w:r>
    </w:p>
    <w:p w14:paraId="568B5275" w14:textId="51E9241E" w:rsidR="00D03A6A" w:rsidRPr="007E5190" w:rsidRDefault="00DE02D0" w:rsidP="00F12626">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After </w:t>
      </w:r>
      <w:r w:rsidR="0037696C" w:rsidRPr="007E5190">
        <w:rPr>
          <w:rFonts w:ascii="Times New Roman" w:hAnsi="Times New Roman" w:cs="Times New Roman"/>
          <w:color w:val="0D0D0D" w:themeColor="text1" w:themeTint="F2"/>
        </w:rPr>
        <w:t>successful</w:t>
      </w:r>
      <w:r w:rsidRPr="007E5190">
        <w:rPr>
          <w:rFonts w:ascii="Times New Roman" w:hAnsi="Times New Roman" w:cs="Times New Roman"/>
          <w:color w:val="0D0D0D" w:themeColor="text1" w:themeTint="F2"/>
        </w:rPr>
        <w:t xml:space="preserve"> optimization, the energies of the Frontier Molecular Orbits (FMOs) were calculated, specifically for the Highest Occupied Molecular Orbital (HOMO) and the Lowest Occupied Molecular Orbital (LUMO). These energies were used to derive the HOMO-LUMO energy gap </w:t>
      </w:r>
      <w:r w:rsidR="00F12626" w:rsidRPr="007E5190">
        <w:rPr>
          <w:rFonts w:ascii="Times New Roman" w:hAnsi="Times New Roman" w:cs="Times New Roman"/>
          <w:color w:val="0D0D0D" w:themeColor="text1" w:themeTint="F2"/>
        </w:rPr>
        <w:t>(</w:t>
      </w:r>
      <m:oMath>
        <m:r>
          <m:rPr>
            <m:sty m:val="p"/>
          </m:rPr>
          <w:rPr>
            <w:rFonts w:ascii="Cambria Math" w:hAnsi="Cambria Math" w:cs="Times New Roman"/>
            <w:color w:val="0D0D0D" w:themeColor="text1" w:themeTint="F2"/>
          </w:rPr>
          <m:t>Δ</m:t>
        </m:r>
        <m:r>
          <w:rPr>
            <w:rFonts w:ascii="Cambria Math" w:hAnsi="Cambria Math" w:cs="Times New Roman"/>
            <w:color w:val="0D0D0D" w:themeColor="text1" w:themeTint="F2"/>
          </w:rPr>
          <m:t xml:space="preserve">E=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E</m:t>
            </m:r>
          </m:e>
          <m:sub>
            <m:r>
              <w:rPr>
                <w:rFonts w:ascii="Cambria Math" w:hAnsi="Cambria Math" w:cs="Times New Roman"/>
                <w:color w:val="0D0D0D" w:themeColor="text1" w:themeTint="F2"/>
              </w:rPr>
              <m:t>LUMO</m:t>
            </m:r>
          </m:sub>
        </m:sSub>
        <m:r>
          <w:rPr>
            <w:rFonts w:ascii="Cambria Math" w:hAnsi="Cambria Math" w:cs="Times New Roman"/>
            <w:color w:val="0D0D0D" w:themeColor="text1" w:themeTint="F2"/>
          </w:rPr>
          <m: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E</m:t>
            </m:r>
          </m:e>
          <m:sub>
            <m:r>
              <w:rPr>
                <w:rFonts w:ascii="Cambria Math" w:hAnsi="Cambria Math" w:cs="Times New Roman"/>
                <w:color w:val="0D0D0D" w:themeColor="text1" w:themeTint="F2"/>
              </w:rPr>
              <m:t>HOMO</m:t>
            </m:r>
          </m:sub>
        </m:sSub>
      </m:oMath>
      <w:r w:rsidR="00F1262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which serves as a key descriptor of chemical reactivity and molecular stability</w:t>
      </w:r>
      <w:r w:rsidR="00F12626" w:rsidRPr="007E5190">
        <w:rPr>
          <w:rFonts w:ascii="Times New Roman" w:hAnsi="Times New Roman" w:cs="Times New Roman"/>
          <w:color w:val="0D0D0D" w:themeColor="text1" w:themeTint="F2"/>
        </w:rPr>
        <w:t xml:space="preserve">. </w:t>
      </w:r>
      <w:r w:rsidR="00DC604C" w:rsidRPr="007E5190">
        <w:rPr>
          <w:rFonts w:ascii="Times New Roman" w:hAnsi="Times New Roman" w:cs="Times New Roman"/>
          <w:color w:val="0D0D0D" w:themeColor="text1" w:themeTint="F2"/>
        </w:rPr>
        <w:t xml:space="preserve">In addition, following recent computational protocols </w:t>
      </w:r>
      <w:r w:rsidR="00DC604C" w:rsidRPr="007E5190">
        <w:rPr>
          <w:rFonts w:ascii="Times New Roman" w:hAnsi="Times New Roman" w:cs="Times New Roman"/>
          <w:color w:val="0D0D0D" w:themeColor="text1" w:themeTint="F2"/>
        </w:rPr>
        <w:fldChar w:fldCharType="begin"/>
      </w:r>
      <w:r w:rsidR="002218FF" w:rsidRPr="007E5190">
        <w:rPr>
          <w:rFonts w:ascii="Times New Roman" w:hAnsi="Times New Roman" w:cs="Times New Roman"/>
          <w:color w:val="0D0D0D" w:themeColor="text1" w:themeTint="F2"/>
        </w:rPr>
        <w:instrText xml:space="preserve"> ADDIN ZOTERO_ITEM CSL_CITATION {"citationID":"HfHZDt0i","properties":{"formattedCitation":"[56,57]","plainCitation":"[56,57]","noteIndex":0},"citationItems":[{"id":237,"uris":["http://zotero.org/users/local/GoHQ98fS/items/985QEIBY"],"itemData":{"id":237,"type":"article-journal","container-title":"Applied Biochemistry and Biotechnology","DOI":"10.1007/s12010-024-05167-z","ISSN":"0273-2289, 1559-0291","issue":"4","journalAbbreviation":"Appl Biochem Biotechnol","language":"en","page":"2639-2666","source":"DOI.org (Crossref)","title":"Phytochemical and Antioxidant Analysis of Bioactive Compound Extract from Nelumbo nucifera against Cancer Proteins: In Silico Spectroscopic Approach","title-short":"Phytochemical and Antioxidant Analysis of Bioactive Compound Extract from Nelumbo nucifera against Cancer Proteins","URL":"https://link.springer.com/10.1007/s12010-024-05167-z","volume":"197","author":[{"family":"Vijayan","given":"Renganathan"},{"family":"Sivakumar","given":"Ponnurengam Malliappan"},{"family":"Hazir","given":"Selcuk"},{"family":"Kumar","given":"A. Ram"},{"family":"Raja","given":"Ramalingam Karthik"}],"accessed":{"date-parts":[["2025",11,20]]},"issued":{"date-parts":[["2025",4]]}}},{"id":239,"uris":["http://zotero.org/users/local/GoHQ98fS/items/SA9ALCLY"],"itemData":{"id":239,"type":"article-journal","container-title":"Journal of Molecular Structure","DOI":"10.1016/j.molstruc.2025.143156","ISSN":"00222860","journalAbbreviation":"Journal of Molecular Structure","language":"en","page":"143156","source":"DOI.org (Crossref)","title":"Experimental and theoretical investigations on antiproliferative compound nootkatone’s vibrational characteristics, solvent effects of electronic properties, topological insights, Hirshfeld surface, donor-acceptor insights, ADME, and molecular docking against SMAD proteins","URL":"https://linkinghub.elsevier.com/retrieve/pii/S0022286025018277","volume":"1346","author":[{"family":"Ram Kumar","given":"A."},{"family":"Selvaraj","given":"S."},{"family":"Vickram","given":"A.S."},{"family":"Jenifer","given":"J."},{"family":"Karthik Raja","given":"R."}],"accessed":{"date-parts":[["2025",11,20]]},"issued":{"date-parts":[["2025",12]]}}}],"schema":"https://github.com/citation-style-language/schema/raw/master/csl-citation.json"} </w:instrText>
      </w:r>
      <w:r w:rsidR="00DC604C" w:rsidRPr="007E5190">
        <w:rPr>
          <w:rFonts w:ascii="Times New Roman" w:hAnsi="Times New Roman" w:cs="Times New Roman"/>
          <w:color w:val="0D0D0D" w:themeColor="text1" w:themeTint="F2"/>
        </w:rPr>
        <w:fldChar w:fldCharType="separate"/>
      </w:r>
      <w:r w:rsidR="002218FF" w:rsidRPr="007E5190">
        <w:rPr>
          <w:rFonts w:ascii="Times New Roman" w:hAnsi="Times New Roman" w:cs="Times New Roman"/>
        </w:rPr>
        <w:t>[56,57]</w:t>
      </w:r>
      <w:r w:rsidR="00DC604C" w:rsidRPr="007E5190">
        <w:rPr>
          <w:rFonts w:ascii="Times New Roman" w:hAnsi="Times New Roman" w:cs="Times New Roman"/>
          <w:color w:val="0D0D0D" w:themeColor="text1" w:themeTint="F2"/>
        </w:rPr>
        <w:fldChar w:fldCharType="end"/>
      </w:r>
      <w:r w:rsidR="00715294" w:rsidRPr="007E5190">
        <w:rPr>
          <w:rFonts w:ascii="Times New Roman" w:hAnsi="Times New Roman" w:cs="Times New Roman"/>
          <w:color w:val="0D0D0D" w:themeColor="text1" w:themeTint="F2"/>
        </w:rPr>
        <w:t>, a Molecular Electrostatic Potential (MEP) surface was generated for each optimized structure. This was done to visualize the charge distribution and to identify potential sites for electrophilic and nucleophilic interactions.</w:t>
      </w:r>
    </w:p>
    <w:p w14:paraId="763AEB04" w14:textId="77777777" w:rsidR="00D03A6A" w:rsidRPr="007E5190" w:rsidRDefault="00D03A6A" w:rsidP="00F12626">
      <w:pPr>
        <w:jc w:val="both"/>
        <w:rPr>
          <w:rFonts w:ascii="Times New Roman" w:hAnsi="Times New Roman" w:cs="Times New Roman"/>
          <w:color w:val="0D0D0D" w:themeColor="text1" w:themeTint="F2"/>
        </w:rPr>
      </w:pPr>
    </w:p>
    <w:p w14:paraId="178BDD38" w14:textId="6E974150" w:rsidR="00794D96" w:rsidRPr="007E5190" w:rsidRDefault="00372860" w:rsidP="00DD06FA">
      <w:pPr>
        <w:pStyle w:val="Heading1"/>
        <w:rPr>
          <w:rFonts w:cs="Times New Roman"/>
        </w:rPr>
      </w:pPr>
      <w:r w:rsidRPr="007E5190">
        <w:rPr>
          <w:rFonts w:cs="Times New Roman"/>
        </w:rPr>
        <w:lastRenderedPageBreak/>
        <w:t>R</w:t>
      </w:r>
      <w:r w:rsidR="00A64045" w:rsidRPr="007E5190">
        <w:rPr>
          <w:rFonts w:cs="Times New Roman"/>
        </w:rPr>
        <w:t>esult</w:t>
      </w:r>
    </w:p>
    <w:p w14:paraId="6BB26217" w14:textId="2BF48E1C" w:rsidR="00794D96" w:rsidRPr="007E5190" w:rsidRDefault="00794D96" w:rsidP="00DD06FA">
      <w:pPr>
        <w:pStyle w:val="Heading2"/>
        <w:rPr>
          <w:rFonts w:cs="Times New Roman"/>
        </w:rPr>
      </w:pPr>
      <w:bookmarkStart w:id="2" w:name="_Ref213159030"/>
      <w:r w:rsidRPr="007E5190">
        <w:rPr>
          <w:rFonts w:cs="Times New Roman"/>
        </w:rPr>
        <w:t xml:space="preserve">Identification of Binding Site via Initial </w:t>
      </w:r>
      <w:proofErr w:type="spellStart"/>
      <w:r w:rsidRPr="007E5190">
        <w:rPr>
          <w:rFonts w:cs="Times New Roman"/>
        </w:rPr>
        <w:t>AutoDock</w:t>
      </w:r>
      <w:proofErr w:type="spellEnd"/>
      <w:r w:rsidRPr="007E5190">
        <w:rPr>
          <w:rFonts w:cs="Times New Roman"/>
        </w:rPr>
        <w:t xml:space="preserve"> 4 Screening</w:t>
      </w:r>
      <w:bookmarkEnd w:id="2"/>
    </w:p>
    <w:p w14:paraId="356A07C3" w14:textId="738317E5"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computational workflow began by screening an initial set of seven known biologically active compounds against the Internalin H protein (PDB: 1H6U) using </w:t>
      </w:r>
      <w:proofErr w:type="spellStart"/>
      <w:r w:rsidRPr="007E5190">
        <w:rPr>
          <w:rFonts w:ascii="Times New Roman" w:hAnsi="Times New Roman" w:cs="Times New Roman"/>
          <w:color w:val="0D0D0D" w:themeColor="text1" w:themeTint="F2"/>
        </w:rPr>
        <w:t>AutoDock</w:t>
      </w:r>
      <w:proofErr w:type="spellEnd"/>
      <w:r w:rsidRPr="007E5190">
        <w:rPr>
          <w:rFonts w:ascii="Times New Roman" w:hAnsi="Times New Roman" w:cs="Times New Roman"/>
          <w:color w:val="0D0D0D" w:themeColor="text1" w:themeTint="F2"/>
        </w:rPr>
        <w:t xml:space="preserve"> 4. A two-step protocol was employed: first, </w:t>
      </w:r>
      <w:r w:rsidR="00F57CE6" w:rsidRPr="007E5190">
        <w:rPr>
          <w:rFonts w:ascii="Times New Roman" w:hAnsi="Times New Roman" w:cs="Times New Roman"/>
          <w:color w:val="0D0D0D" w:themeColor="text1" w:themeTint="F2"/>
        </w:rPr>
        <w:t>blind</w:t>
      </w:r>
      <w:r w:rsidRPr="007E5190">
        <w:rPr>
          <w:rFonts w:ascii="Times New Roman" w:hAnsi="Times New Roman" w:cs="Times New Roman"/>
          <w:color w:val="0D0D0D" w:themeColor="text1" w:themeTint="F2"/>
        </w:rPr>
        <w:t xml:space="preserve"> docking was performed to identify the most probable binding cavity on the entire protein surface. Following this, a more precise focused docking was centered on this putative active site.</w:t>
      </w:r>
    </w:p>
    <w:p w14:paraId="3FB8A3F9" w14:textId="6AA6403E"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binding affinities for both protocols are summarized in </w:t>
      </w:r>
      <w:r w:rsidRPr="007E5190">
        <w:rPr>
          <w:rFonts w:ascii="Times New Roman" w:hAnsi="Times New Roman" w:cs="Times New Roman"/>
          <w:color w:val="4472C4" w:themeColor="accent1"/>
        </w:rPr>
        <w:t xml:space="preserve">Table </w:t>
      </w:r>
      <w:r w:rsidR="008C443B" w:rsidRPr="007E5190">
        <w:rPr>
          <w:rFonts w:ascii="Times New Roman" w:hAnsi="Times New Roman" w:cs="Times New Roman"/>
          <w:color w:val="4472C4" w:themeColor="accent1"/>
        </w:rPr>
        <w:t>3</w:t>
      </w:r>
      <w:r w:rsidRPr="007E5190">
        <w:rPr>
          <w:rFonts w:ascii="Times New Roman" w:hAnsi="Times New Roman" w:cs="Times New Roman"/>
          <w:color w:val="0D0D0D" w:themeColor="text1" w:themeTint="F2"/>
        </w:rPr>
        <w:t>. The results show that the focused docking protocol yielded significantly more favorable (more negative) binding energies for all seven compounds, confirming a single, preferential binding site. Of this initial set, Oleanolic Acid (CID 10494) emerged as the top candidate, exhibiting the strongest binding affinity at -7.63 kcal/mol.</w:t>
      </w:r>
    </w:p>
    <w:p w14:paraId="7AC63D6A" w14:textId="12F5DEB8" w:rsidR="00A06031" w:rsidRPr="007E5190" w:rsidRDefault="00A06031" w:rsidP="00A06031">
      <w:pPr>
        <w:pStyle w:val="Caption"/>
        <w:keepNext/>
        <w:rPr>
          <w:rFonts w:ascii="Times New Roman" w:hAnsi="Times New Roman" w:cs="Times New Roman"/>
          <w:color w:val="0D0D0D" w:themeColor="text1" w:themeTint="F2"/>
          <w:sz w:val="24"/>
          <w:szCs w:val="24"/>
        </w:rPr>
      </w:pPr>
      <w:bookmarkStart w:id="3" w:name="_Ref213086250"/>
      <w:r w:rsidRPr="007E5190">
        <w:rPr>
          <w:rFonts w:ascii="Times New Roman" w:hAnsi="Times New Roman" w:cs="Times New Roman"/>
          <w:color w:val="0D0D0D" w:themeColor="text1" w:themeTint="F2"/>
          <w:sz w:val="24"/>
          <w:szCs w:val="24"/>
        </w:rPr>
        <w:t xml:space="preserve">Table </w:t>
      </w:r>
      <w:r w:rsidRPr="007E5190">
        <w:rPr>
          <w:rFonts w:ascii="Times New Roman" w:hAnsi="Times New Roman" w:cs="Times New Roman"/>
          <w:color w:val="0D0D0D" w:themeColor="text1" w:themeTint="F2"/>
          <w:sz w:val="24"/>
          <w:szCs w:val="24"/>
        </w:rPr>
        <w:fldChar w:fldCharType="begin"/>
      </w:r>
      <w:r w:rsidRPr="007E5190">
        <w:rPr>
          <w:rFonts w:ascii="Times New Roman" w:hAnsi="Times New Roman" w:cs="Times New Roman"/>
          <w:color w:val="0D0D0D" w:themeColor="text1" w:themeTint="F2"/>
          <w:sz w:val="24"/>
          <w:szCs w:val="24"/>
        </w:rPr>
        <w:instrText xml:space="preserve"> SEQ Table \* ARABIC </w:instrText>
      </w:r>
      <w:r w:rsidRPr="007E5190">
        <w:rPr>
          <w:rFonts w:ascii="Times New Roman" w:hAnsi="Times New Roman" w:cs="Times New Roman"/>
          <w:color w:val="0D0D0D" w:themeColor="text1" w:themeTint="F2"/>
          <w:sz w:val="24"/>
          <w:szCs w:val="24"/>
        </w:rPr>
        <w:fldChar w:fldCharType="separate"/>
      </w:r>
      <w:r w:rsidR="002E56DD" w:rsidRPr="007E5190">
        <w:rPr>
          <w:rFonts w:ascii="Times New Roman" w:hAnsi="Times New Roman" w:cs="Times New Roman"/>
          <w:noProof/>
          <w:color w:val="0D0D0D" w:themeColor="text1" w:themeTint="F2"/>
          <w:sz w:val="24"/>
          <w:szCs w:val="24"/>
        </w:rPr>
        <w:t>3</w:t>
      </w:r>
      <w:r w:rsidRPr="007E5190">
        <w:rPr>
          <w:rFonts w:ascii="Times New Roman" w:hAnsi="Times New Roman" w:cs="Times New Roman"/>
          <w:color w:val="0D0D0D" w:themeColor="text1" w:themeTint="F2"/>
          <w:sz w:val="24"/>
          <w:szCs w:val="24"/>
        </w:rPr>
        <w:fldChar w:fldCharType="end"/>
      </w:r>
      <w:bookmarkEnd w:id="3"/>
      <w:r w:rsidRPr="007E5190">
        <w:rPr>
          <w:rFonts w:ascii="Times New Roman" w:hAnsi="Times New Roman" w:cs="Times New Roman"/>
          <w:color w:val="0D0D0D" w:themeColor="text1" w:themeTint="F2"/>
          <w:sz w:val="24"/>
          <w:szCs w:val="24"/>
        </w:rPr>
        <w:t xml:space="preserve">. </w:t>
      </w:r>
      <w:r w:rsidRPr="007E5190">
        <w:rPr>
          <w:rFonts w:ascii="Times New Roman" w:hAnsi="Times New Roman" w:cs="Times New Roman"/>
          <w:b w:val="0"/>
          <w:bCs/>
          <w:color w:val="0D0D0D" w:themeColor="text1" w:themeTint="F2"/>
          <w:sz w:val="24"/>
          <w:szCs w:val="24"/>
        </w:rPr>
        <w:t>Binding Affinities of Initial Seven Compounds from Blind vs. Focused Docking</w:t>
      </w: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60"/>
        <w:gridCol w:w="1561"/>
        <w:gridCol w:w="1559"/>
        <w:gridCol w:w="1559"/>
        <w:gridCol w:w="1561"/>
      </w:tblGrid>
      <w:tr w:rsidR="005E631E" w:rsidRPr="007E5190" w14:paraId="0A727001" w14:textId="77777777" w:rsidTr="006D072F">
        <w:trPr>
          <w:trHeight w:val="1008"/>
          <w:tblHeader/>
          <w:jc w:val="center"/>
        </w:trPr>
        <w:tc>
          <w:tcPr>
            <w:tcW w:w="833" w:type="pct"/>
            <w:tcBorders>
              <w:top w:val="single" w:sz="4" w:space="0" w:color="auto"/>
              <w:bottom w:val="single" w:sz="4" w:space="0" w:color="auto"/>
            </w:tcBorders>
            <w:vAlign w:val="center"/>
          </w:tcPr>
          <w:p w14:paraId="6B2C41AD" w14:textId="77777777" w:rsidR="00A06031" w:rsidRPr="007E5190" w:rsidRDefault="00A06031"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Sr. No</w:t>
            </w:r>
          </w:p>
        </w:tc>
        <w:tc>
          <w:tcPr>
            <w:tcW w:w="833" w:type="pct"/>
            <w:tcBorders>
              <w:top w:val="single" w:sz="4" w:space="0" w:color="auto"/>
              <w:bottom w:val="single" w:sz="4" w:space="0" w:color="auto"/>
            </w:tcBorders>
            <w:vAlign w:val="center"/>
          </w:tcPr>
          <w:p w14:paraId="1BE06EDB" w14:textId="77777777" w:rsidR="00A06031" w:rsidRPr="007E5190" w:rsidRDefault="00A06031"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CID</w:t>
            </w:r>
          </w:p>
        </w:tc>
        <w:tc>
          <w:tcPr>
            <w:tcW w:w="834" w:type="pct"/>
            <w:tcBorders>
              <w:top w:val="single" w:sz="4" w:space="0" w:color="auto"/>
              <w:bottom w:val="single" w:sz="4" w:space="0" w:color="auto"/>
            </w:tcBorders>
            <w:vAlign w:val="center"/>
          </w:tcPr>
          <w:p w14:paraId="0C097558" w14:textId="77777777" w:rsidR="00A06031" w:rsidRPr="007E5190" w:rsidRDefault="00A06031"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Compound Name</w:t>
            </w:r>
          </w:p>
        </w:tc>
        <w:tc>
          <w:tcPr>
            <w:tcW w:w="833" w:type="pct"/>
            <w:tcBorders>
              <w:top w:val="single" w:sz="4" w:space="0" w:color="auto"/>
              <w:bottom w:val="single" w:sz="4" w:space="0" w:color="auto"/>
            </w:tcBorders>
            <w:vAlign w:val="center"/>
          </w:tcPr>
          <w:p w14:paraId="61E763C5" w14:textId="77777777" w:rsidR="00A06031" w:rsidRPr="007E5190" w:rsidRDefault="00A06031"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Source</w:t>
            </w:r>
          </w:p>
        </w:tc>
        <w:tc>
          <w:tcPr>
            <w:tcW w:w="833" w:type="pct"/>
            <w:tcBorders>
              <w:top w:val="single" w:sz="4" w:space="0" w:color="auto"/>
              <w:bottom w:val="single" w:sz="4" w:space="0" w:color="auto"/>
            </w:tcBorders>
            <w:vAlign w:val="center"/>
          </w:tcPr>
          <w:p w14:paraId="04EB5C41" w14:textId="77777777" w:rsidR="00A06031" w:rsidRPr="007E5190" w:rsidRDefault="00A06031" w:rsidP="00561C5A">
            <w:pPr>
              <w:jc w:val="center"/>
              <w:rPr>
                <w:rFonts w:ascii="Times New Roman" w:hAnsi="Times New Roman" w:cs="Times New Roman"/>
                <w:b/>
                <w:bCs/>
                <w:color w:val="0D0D0D" w:themeColor="text1" w:themeTint="F2"/>
                <w:lang w:val="sv-SE"/>
              </w:rPr>
            </w:pPr>
            <w:r w:rsidRPr="007E5190">
              <w:rPr>
                <w:rFonts w:ascii="Times New Roman" w:hAnsi="Times New Roman" w:cs="Times New Roman"/>
                <w:b/>
                <w:bCs/>
                <w:color w:val="0D0D0D" w:themeColor="text1" w:themeTint="F2"/>
                <w:lang w:val="sv-SE"/>
              </w:rPr>
              <w:t>Blind Dock Score (kcal/mol)</w:t>
            </w:r>
          </w:p>
        </w:tc>
        <w:tc>
          <w:tcPr>
            <w:tcW w:w="834" w:type="pct"/>
            <w:tcBorders>
              <w:top w:val="single" w:sz="4" w:space="0" w:color="auto"/>
              <w:bottom w:val="single" w:sz="4" w:space="0" w:color="auto"/>
            </w:tcBorders>
            <w:vAlign w:val="center"/>
          </w:tcPr>
          <w:p w14:paraId="543EDB5D" w14:textId="12410A69" w:rsidR="00A06031" w:rsidRPr="007E5190" w:rsidRDefault="00E71F44"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Focused</w:t>
            </w:r>
            <w:r w:rsidR="00A06031" w:rsidRPr="007E5190">
              <w:rPr>
                <w:rFonts w:ascii="Times New Roman" w:hAnsi="Times New Roman" w:cs="Times New Roman"/>
                <w:b/>
                <w:bCs/>
                <w:color w:val="0D0D0D" w:themeColor="text1" w:themeTint="F2"/>
              </w:rPr>
              <w:t xml:space="preserve"> Dock Score (kcal/mol)</w:t>
            </w:r>
          </w:p>
        </w:tc>
      </w:tr>
      <w:tr w:rsidR="005E631E" w:rsidRPr="007E5190" w14:paraId="580BFC6E" w14:textId="77777777" w:rsidTr="006D072F">
        <w:trPr>
          <w:trHeight w:val="504"/>
          <w:jc w:val="center"/>
        </w:trPr>
        <w:tc>
          <w:tcPr>
            <w:tcW w:w="833" w:type="pct"/>
            <w:tcBorders>
              <w:top w:val="single" w:sz="4" w:space="0" w:color="auto"/>
            </w:tcBorders>
            <w:vAlign w:val="center"/>
          </w:tcPr>
          <w:p w14:paraId="633F9B72"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833" w:type="pct"/>
            <w:tcBorders>
              <w:top w:val="single" w:sz="4" w:space="0" w:color="auto"/>
            </w:tcBorders>
            <w:vAlign w:val="center"/>
          </w:tcPr>
          <w:p w14:paraId="1A3B5063"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2703</w:t>
            </w:r>
          </w:p>
        </w:tc>
        <w:tc>
          <w:tcPr>
            <w:tcW w:w="834" w:type="pct"/>
            <w:tcBorders>
              <w:top w:val="single" w:sz="4" w:space="0" w:color="auto"/>
            </w:tcBorders>
            <w:vAlign w:val="center"/>
          </w:tcPr>
          <w:p w14:paraId="7087B5FC" w14:textId="77777777" w:rsidR="00A06031" w:rsidRPr="007E5190" w:rsidRDefault="00A06031"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Chelerythrine</w:t>
            </w:r>
            <w:proofErr w:type="spellEnd"/>
          </w:p>
        </w:tc>
        <w:tc>
          <w:tcPr>
            <w:tcW w:w="833" w:type="pct"/>
            <w:tcBorders>
              <w:top w:val="single" w:sz="4" w:space="0" w:color="auto"/>
            </w:tcBorders>
            <w:vAlign w:val="center"/>
          </w:tcPr>
          <w:p w14:paraId="215D8474" w14:textId="77777777" w:rsidR="00A06031" w:rsidRPr="007E5190" w:rsidRDefault="00A06031"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833" w:type="pct"/>
            <w:tcBorders>
              <w:top w:val="single" w:sz="4" w:space="0" w:color="auto"/>
            </w:tcBorders>
            <w:vAlign w:val="center"/>
          </w:tcPr>
          <w:p w14:paraId="1BAF0C04"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-5.66</w:t>
            </w:r>
          </w:p>
        </w:tc>
        <w:tc>
          <w:tcPr>
            <w:tcW w:w="834" w:type="pct"/>
            <w:tcBorders>
              <w:top w:val="single" w:sz="4" w:space="0" w:color="auto"/>
            </w:tcBorders>
            <w:vAlign w:val="center"/>
          </w:tcPr>
          <w:p w14:paraId="256CBFEF"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-6.72</w:t>
            </w:r>
          </w:p>
        </w:tc>
      </w:tr>
      <w:tr w:rsidR="005E631E" w:rsidRPr="007E5190" w14:paraId="6A0F6609" w14:textId="77777777" w:rsidTr="006D072F">
        <w:trPr>
          <w:trHeight w:val="504"/>
          <w:jc w:val="center"/>
        </w:trPr>
        <w:tc>
          <w:tcPr>
            <w:tcW w:w="833" w:type="pct"/>
            <w:vAlign w:val="center"/>
          </w:tcPr>
          <w:p w14:paraId="5EDFE22C"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833" w:type="pct"/>
            <w:vAlign w:val="center"/>
          </w:tcPr>
          <w:p w14:paraId="4DF4A67F"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259846</w:t>
            </w:r>
          </w:p>
        </w:tc>
        <w:tc>
          <w:tcPr>
            <w:tcW w:w="834" w:type="pct"/>
            <w:vAlign w:val="center"/>
          </w:tcPr>
          <w:p w14:paraId="3DA44149"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Lupeol</w:t>
            </w:r>
          </w:p>
        </w:tc>
        <w:tc>
          <w:tcPr>
            <w:tcW w:w="833" w:type="pct"/>
            <w:vAlign w:val="center"/>
          </w:tcPr>
          <w:p w14:paraId="61695D9E" w14:textId="77777777" w:rsidR="00A06031" w:rsidRPr="007E5190" w:rsidRDefault="00A06031"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833" w:type="pct"/>
            <w:vAlign w:val="center"/>
          </w:tcPr>
          <w:p w14:paraId="223956E9"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-5.74</w:t>
            </w:r>
          </w:p>
        </w:tc>
        <w:tc>
          <w:tcPr>
            <w:tcW w:w="834" w:type="pct"/>
            <w:vAlign w:val="center"/>
          </w:tcPr>
          <w:p w14:paraId="0CC7DA53"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-6.27</w:t>
            </w:r>
          </w:p>
        </w:tc>
      </w:tr>
      <w:tr w:rsidR="005E631E" w:rsidRPr="007E5190" w14:paraId="1887D0C6" w14:textId="77777777" w:rsidTr="006D072F">
        <w:trPr>
          <w:trHeight w:val="504"/>
          <w:jc w:val="center"/>
        </w:trPr>
        <w:tc>
          <w:tcPr>
            <w:tcW w:w="833" w:type="pct"/>
            <w:vAlign w:val="center"/>
          </w:tcPr>
          <w:p w14:paraId="6BCA56D6"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w:t>
            </w:r>
          </w:p>
        </w:tc>
        <w:tc>
          <w:tcPr>
            <w:tcW w:w="833" w:type="pct"/>
            <w:vAlign w:val="center"/>
          </w:tcPr>
          <w:p w14:paraId="4C723B57"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5280343</w:t>
            </w:r>
          </w:p>
        </w:tc>
        <w:tc>
          <w:tcPr>
            <w:tcW w:w="834" w:type="pct"/>
            <w:vAlign w:val="center"/>
          </w:tcPr>
          <w:p w14:paraId="555B4C26"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Quercetin</w:t>
            </w:r>
          </w:p>
        </w:tc>
        <w:tc>
          <w:tcPr>
            <w:tcW w:w="833" w:type="pct"/>
            <w:vAlign w:val="center"/>
          </w:tcPr>
          <w:p w14:paraId="2A853BF3" w14:textId="77777777" w:rsidR="00A06031" w:rsidRPr="007E5190" w:rsidRDefault="00A06031"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833" w:type="pct"/>
            <w:vAlign w:val="center"/>
          </w:tcPr>
          <w:p w14:paraId="5459B391"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-5.17</w:t>
            </w:r>
          </w:p>
        </w:tc>
        <w:tc>
          <w:tcPr>
            <w:tcW w:w="834" w:type="pct"/>
            <w:vAlign w:val="center"/>
          </w:tcPr>
          <w:p w14:paraId="104A96CC"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-7.03</w:t>
            </w:r>
          </w:p>
        </w:tc>
      </w:tr>
      <w:tr w:rsidR="005E631E" w:rsidRPr="007E5190" w14:paraId="2E35652E" w14:textId="77777777" w:rsidTr="006D072F">
        <w:trPr>
          <w:trHeight w:val="504"/>
          <w:jc w:val="center"/>
        </w:trPr>
        <w:tc>
          <w:tcPr>
            <w:tcW w:w="833" w:type="pct"/>
            <w:vAlign w:val="center"/>
          </w:tcPr>
          <w:p w14:paraId="2D610C67"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833" w:type="pct"/>
            <w:vAlign w:val="center"/>
          </w:tcPr>
          <w:p w14:paraId="7F25A867"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64945</w:t>
            </w:r>
          </w:p>
        </w:tc>
        <w:tc>
          <w:tcPr>
            <w:tcW w:w="834" w:type="pct"/>
            <w:vAlign w:val="center"/>
          </w:tcPr>
          <w:p w14:paraId="62BA6137" w14:textId="77777777" w:rsidR="00A06031" w:rsidRPr="007E5190" w:rsidRDefault="00A06031"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Ursolic</w:t>
            </w:r>
            <w:proofErr w:type="spellEnd"/>
            <w:r w:rsidRPr="007E5190">
              <w:rPr>
                <w:rFonts w:ascii="Times New Roman" w:hAnsi="Times New Roman" w:cs="Times New Roman"/>
                <w:color w:val="0D0D0D" w:themeColor="text1" w:themeTint="F2"/>
              </w:rPr>
              <w:t xml:space="preserve"> Acid</w:t>
            </w:r>
          </w:p>
        </w:tc>
        <w:tc>
          <w:tcPr>
            <w:tcW w:w="833" w:type="pct"/>
            <w:vAlign w:val="center"/>
          </w:tcPr>
          <w:p w14:paraId="2330671B" w14:textId="77777777" w:rsidR="00A06031" w:rsidRPr="007E5190" w:rsidRDefault="00A06031"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833" w:type="pct"/>
            <w:vAlign w:val="center"/>
          </w:tcPr>
          <w:p w14:paraId="12F02E69"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-5.71</w:t>
            </w:r>
          </w:p>
        </w:tc>
        <w:tc>
          <w:tcPr>
            <w:tcW w:w="834" w:type="pct"/>
            <w:vAlign w:val="center"/>
          </w:tcPr>
          <w:p w14:paraId="23311D15"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-6.39</w:t>
            </w:r>
          </w:p>
        </w:tc>
      </w:tr>
      <w:tr w:rsidR="005E631E" w:rsidRPr="007E5190" w14:paraId="039A409F" w14:textId="77777777" w:rsidTr="006D072F">
        <w:trPr>
          <w:trHeight w:val="504"/>
          <w:jc w:val="center"/>
        </w:trPr>
        <w:tc>
          <w:tcPr>
            <w:tcW w:w="833" w:type="pct"/>
            <w:vAlign w:val="center"/>
          </w:tcPr>
          <w:p w14:paraId="5177522D"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833" w:type="pct"/>
            <w:vAlign w:val="center"/>
          </w:tcPr>
          <w:p w14:paraId="69987897"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73659</w:t>
            </w:r>
          </w:p>
        </w:tc>
        <w:tc>
          <w:tcPr>
            <w:tcW w:w="834" w:type="pct"/>
            <w:vAlign w:val="center"/>
          </w:tcPr>
          <w:p w14:paraId="19571672" w14:textId="77777777" w:rsidR="00A06031" w:rsidRPr="007E5190" w:rsidRDefault="00A06031"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w:t>
            </w:r>
          </w:p>
        </w:tc>
        <w:tc>
          <w:tcPr>
            <w:tcW w:w="833" w:type="pct"/>
            <w:vAlign w:val="center"/>
          </w:tcPr>
          <w:p w14:paraId="3D04C1DF" w14:textId="77777777" w:rsidR="00A06031" w:rsidRPr="007E5190" w:rsidRDefault="00A06031"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833" w:type="pct"/>
            <w:vAlign w:val="center"/>
          </w:tcPr>
          <w:p w14:paraId="7A8E5329"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-5.90</w:t>
            </w:r>
          </w:p>
        </w:tc>
        <w:tc>
          <w:tcPr>
            <w:tcW w:w="834" w:type="pct"/>
            <w:vAlign w:val="center"/>
          </w:tcPr>
          <w:p w14:paraId="41195337"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-7.22</w:t>
            </w:r>
          </w:p>
        </w:tc>
      </w:tr>
      <w:tr w:rsidR="005E631E" w:rsidRPr="007E5190" w14:paraId="537258C9" w14:textId="77777777" w:rsidTr="006D072F">
        <w:trPr>
          <w:trHeight w:val="504"/>
          <w:jc w:val="center"/>
        </w:trPr>
        <w:tc>
          <w:tcPr>
            <w:tcW w:w="833" w:type="pct"/>
            <w:vAlign w:val="center"/>
          </w:tcPr>
          <w:p w14:paraId="4FADCCDB"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w:t>
            </w:r>
          </w:p>
        </w:tc>
        <w:tc>
          <w:tcPr>
            <w:tcW w:w="833" w:type="pct"/>
            <w:vAlign w:val="center"/>
          </w:tcPr>
          <w:p w14:paraId="5998D722"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73299</w:t>
            </w:r>
          </w:p>
        </w:tc>
        <w:tc>
          <w:tcPr>
            <w:tcW w:w="834" w:type="pct"/>
            <w:vAlign w:val="center"/>
          </w:tcPr>
          <w:p w14:paraId="57820A91"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Hederagenin</w:t>
            </w:r>
          </w:p>
        </w:tc>
        <w:tc>
          <w:tcPr>
            <w:tcW w:w="833" w:type="pct"/>
            <w:vAlign w:val="center"/>
          </w:tcPr>
          <w:p w14:paraId="32DC4700" w14:textId="77777777" w:rsidR="00A06031" w:rsidRPr="007E5190" w:rsidRDefault="00A06031"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833" w:type="pct"/>
            <w:vAlign w:val="center"/>
          </w:tcPr>
          <w:p w14:paraId="479C9B2C"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-5.26</w:t>
            </w:r>
          </w:p>
        </w:tc>
        <w:tc>
          <w:tcPr>
            <w:tcW w:w="834" w:type="pct"/>
            <w:vAlign w:val="center"/>
          </w:tcPr>
          <w:p w14:paraId="5DF9CE75"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-6.60</w:t>
            </w:r>
          </w:p>
        </w:tc>
      </w:tr>
      <w:tr w:rsidR="008B4F7E" w:rsidRPr="007E5190" w14:paraId="2E81C088" w14:textId="77777777" w:rsidTr="006D072F">
        <w:trPr>
          <w:trHeight w:val="504"/>
          <w:jc w:val="center"/>
        </w:trPr>
        <w:tc>
          <w:tcPr>
            <w:tcW w:w="833" w:type="pct"/>
            <w:vAlign w:val="center"/>
          </w:tcPr>
          <w:p w14:paraId="64C501A4"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w:t>
            </w:r>
          </w:p>
        </w:tc>
        <w:tc>
          <w:tcPr>
            <w:tcW w:w="833" w:type="pct"/>
            <w:vAlign w:val="center"/>
          </w:tcPr>
          <w:p w14:paraId="74DCDC9F"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10494</w:t>
            </w:r>
          </w:p>
        </w:tc>
        <w:tc>
          <w:tcPr>
            <w:tcW w:w="834" w:type="pct"/>
            <w:vAlign w:val="center"/>
          </w:tcPr>
          <w:p w14:paraId="5808BD1E"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Oleanolic Acid</w:t>
            </w:r>
          </w:p>
        </w:tc>
        <w:tc>
          <w:tcPr>
            <w:tcW w:w="833" w:type="pct"/>
            <w:vAlign w:val="center"/>
          </w:tcPr>
          <w:p w14:paraId="624BFD64" w14:textId="77777777" w:rsidR="00A06031" w:rsidRPr="007E5190" w:rsidRDefault="00A06031"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833" w:type="pct"/>
            <w:vAlign w:val="center"/>
          </w:tcPr>
          <w:p w14:paraId="1844C8D6"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-6.90</w:t>
            </w:r>
          </w:p>
        </w:tc>
        <w:tc>
          <w:tcPr>
            <w:tcW w:w="834" w:type="pct"/>
            <w:vAlign w:val="center"/>
          </w:tcPr>
          <w:p w14:paraId="21D9759D" w14:textId="77777777" w:rsidR="00A06031" w:rsidRPr="007E5190" w:rsidRDefault="00A06031"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-7.63</w:t>
            </w:r>
          </w:p>
        </w:tc>
      </w:tr>
    </w:tbl>
    <w:p w14:paraId="126BCC0F" w14:textId="77777777" w:rsidR="000C6F4A" w:rsidRPr="007E5190" w:rsidRDefault="000C6F4A" w:rsidP="00D75BEE">
      <w:pPr>
        <w:jc w:val="both"/>
        <w:rPr>
          <w:rFonts w:ascii="Times New Roman" w:hAnsi="Times New Roman" w:cs="Times New Roman"/>
          <w:color w:val="0D0D0D" w:themeColor="text1" w:themeTint="F2"/>
        </w:rPr>
      </w:pPr>
    </w:p>
    <w:p w14:paraId="29776305" w14:textId="28B71C77"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This optimal binding pose was selected from the largest and most stable conformation cluster identified in </w:t>
      </w:r>
      <w:proofErr w:type="spellStart"/>
      <w:r w:rsidR="00AB4B8E" w:rsidRPr="007E5190">
        <w:rPr>
          <w:rFonts w:ascii="Times New Roman" w:hAnsi="Times New Roman" w:cs="Times New Roman"/>
          <w:color w:val="0D0D0D" w:themeColor="text1" w:themeTint="F2"/>
        </w:rPr>
        <w:t>AutoDock</w:t>
      </w:r>
      <w:proofErr w:type="spellEnd"/>
      <w:r w:rsidRPr="007E5190">
        <w:rPr>
          <w:rFonts w:ascii="Times New Roman" w:hAnsi="Times New Roman" w:cs="Times New Roman"/>
          <w:color w:val="0D0D0D" w:themeColor="text1" w:themeTint="F2"/>
        </w:rPr>
        <w:t xml:space="preserve"> 4 analysis. A visualization of this pose is presented in </w:t>
      </w:r>
      <w:r w:rsidR="00C56F64" w:rsidRPr="007E5190">
        <w:rPr>
          <w:rFonts w:ascii="Times New Roman" w:hAnsi="Times New Roman" w:cs="Times New Roman"/>
          <w:color w:val="0D0D0D" w:themeColor="text1" w:themeTint="F2"/>
        </w:rPr>
        <w:fldChar w:fldCharType="begin"/>
      </w:r>
      <w:r w:rsidR="00C56F64" w:rsidRPr="007E5190">
        <w:rPr>
          <w:rFonts w:ascii="Times New Roman" w:hAnsi="Times New Roman" w:cs="Times New Roman"/>
          <w:color w:val="0D0D0D" w:themeColor="text1" w:themeTint="F2"/>
        </w:rPr>
        <w:instrText xml:space="preserve"> REF _Ref213048664 \h </w:instrText>
      </w:r>
      <w:r w:rsidR="00EF7F63" w:rsidRPr="007E5190">
        <w:rPr>
          <w:rFonts w:ascii="Times New Roman" w:hAnsi="Times New Roman" w:cs="Times New Roman"/>
          <w:color w:val="0D0D0D" w:themeColor="text1" w:themeTint="F2"/>
        </w:rPr>
        <w:instrText xml:space="preserve"> \* MERGEFORMAT </w:instrText>
      </w:r>
      <w:r w:rsidR="00C56F64" w:rsidRPr="007E5190">
        <w:rPr>
          <w:rFonts w:ascii="Times New Roman" w:hAnsi="Times New Roman" w:cs="Times New Roman"/>
          <w:color w:val="0D0D0D" w:themeColor="text1" w:themeTint="F2"/>
        </w:rPr>
      </w:r>
      <w:r w:rsidR="00C56F64" w:rsidRPr="007E5190">
        <w:rPr>
          <w:rFonts w:ascii="Times New Roman" w:hAnsi="Times New Roman" w:cs="Times New Roman"/>
          <w:color w:val="0D0D0D" w:themeColor="text1" w:themeTint="F2"/>
        </w:rPr>
        <w:fldChar w:fldCharType="separate"/>
      </w:r>
      <w:r w:rsidR="00C56F64" w:rsidRPr="007E5190">
        <w:rPr>
          <w:rFonts w:ascii="Times New Roman" w:hAnsi="Times New Roman" w:cs="Times New Roman"/>
          <w:color w:val="4472C4" w:themeColor="accent1"/>
        </w:rPr>
        <w:t xml:space="preserve">Figure </w:t>
      </w:r>
      <w:r w:rsidR="00D824E9" w:rsidRPr="007E5190">
        <w:rPr>
          <w:rFonts w:ascii="Times New Roman" w:hAnsi="Times New Roman" w:cs="Times New Roman"/>
          <w:color w:val="4472C4" w:themeColor="accent1"/>
        </w:rPr>
        <w:t>2</w:t>
      </w:r>
      <w:r w:rsidR="00C56F64"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xml:space="preserve">, showing Oleanolic Acid securely docked within the identified binding pocket of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Analysis of this interaction, as detailed in the PLIP report, confirmed a stable binding mode maintained by several key hydrogen bonds and hydrophobic contacts with active site residues.</w:t>
      </w:r>
    </w:p>
    <w:p w14:paraId="641E8F4E" w14:textId="21A3F23A" w:rsidR="00794D96" w:rsidRPr="007E5190" w:rsidRDefault="00794D96" w:rsidP="00DD06FA">
      <w:pPr>
        <w:pStyle w:val="Heading2"/>
        <w:rPr>
          <w:rFonts w:cs="Times New Roman"/>
        </w:rPr>
      </w:pPr>
      <w:bookmarkStart w:id="4" w:name="_Ref213159057"/>
      <w:r w:rsidRPr="007E5190">
        <w:rPr>
          <w:rFonts w:cs="Times New Roman"/>
        </w:rPr>
        <w:t>Virtual Screening for Novel High-Affinity Inhibitors</w:t>
      </w:r>
      <w:bookmarkEnd w:id="4"/>
    </w:p>
    <w:p w14:paraId="22AFD1E5" w14:textId="197B3BAF" w:rsidR="001368E1" w:rsidRPr="007E5190" w:rsidRDefault="00794D96" w:rsidP="006D072F">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Following the identification of the binding pocket and the establishment of Oleanolic Acid (-7.63 kcal/mol) as a control, a high-throughput virtual screening (HTVS) was performed to discover </w:t>
      </w:r>
      <w:r w:rsidRPr="007E5190">
        <w:rPr>
          <w:rFonts w:ascii="Times New Roman" w:hAnsi="Times New Roman" w:cs="Times New Roman"/>
          <w:color w:val="0D0D0D" w:themeColor="text1" w:themeTint="F2"/>
        </w:rPr>
        <w:lastRenderedPageBreak/>
        <w:t xml:space="preserve">novel analogues with potentially superior binding affinities. A large library of 7,000 structural analogues was retrieved from PubChem, which was then pre-filtered for compliance with Lipinski's Rule of Five. This crucial filtering step reduced the library to a final, drug-like set of 209 candidate compounds (as detailed in </w:t>
      </w:r>
      <w:r w:rsidR="00C56F64" w:rsidRPr="007E5190">
        <w:rPr>
          <w:rFonts w:ascii="Times New Roman" w:hAnsi="Times New Roman" w:cs="Times New Roman"/>
          <w:color w:val="4472C4" w:themeColor="accent1"/>
        </w:rPr>
        <w:fldChar w:fldCharType="begin"/>
      </w:r>
      <w:r w:rsidR="00C56F64" w:rsidRPr="007E5190">
        <w:rPr>
          <w:rFonts w:ascii="Times New Roman" w:hAnsi="Times New Roman" w:cs="Times New Roman"/>
          <w:color w:val="4472C4" w:themeColor="accent1"/>
        </w:rPr>
        <w:instrText xml:space="preserve"> REF _Ref213047924 \h </w:instrText>
      </w:r>
      <w:r w:rsidR="00EF7F63" w:rsidRPr="007E5190">
        <w:rPr>
          <w:rFonts w:ascii="Times New Roman" w:hAnsi="Times New Roman" w:cs="Times New Roman"/>
          <w:color w:val="4472C4" w:themeColor="accent1"/>
        </w:rPr>
        <w:instrText xml:space="preserve"> \* MERGEFORMAT </w:instrText>
      </w:r>
      <w:r w:rsidR="00C56F64" w:rsidRPr="007E5190">
        <w:rPr>
          <w:rFonts w:ascii="Times New Roman" w:hAnsi="Times New Roman" w:cs="Times New Roman"/>
          <w:color w:val="4472C4" w:themeColor="accent1"/>
        </w:rPr>
      </w:r>
      <w:r w:rsidR="00C56F64" w:rsidRPr="007E5190">
        <w:rPr>
          <w:rFonts w:ascii="Times New Roman" w:hAnsi="Times New Roman" w:cs="Times New Roman"/>
          <w:color w:val="4472C4" w:themeColor="accent1"/>
        </w:rPr>
        <w:fldChar w:fldCharType="separate"/>
      </w:r>
      <w:r w:rsidR="00C56F64" w:rsidRPr="007E5190">
        <w:rPr>
          <w:rFonts w:ascii="Times New Roman" w:hAnsi="Times New Roman" w:cs="Times New Roman"/>
          <w:color w:val="4472C4" w:themeColor="accent1"/>
        </w:rPr>
        <w:t xml:space="preserve">Table </w:t>
      </w:r>
      <w:r w:rsidR="00C56F64" w:rsidRPr="007E5190">
        <w:rPr>
          <w:rFonts w:ascii="Times New Roman" w:hAnsi="Times New Roman" w:cs="Times New Roman"/>
          <w:noProof/>
          <w:color w:val="4472C4" w:themeColor="accent1"/>
        </w:rPr>
        <w:t>4</w:t>
      </w:r>
      <w:r w:rsidR="00C56F64"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xml:space="preserve">). This qualified library was then screened against the focused binding pocket using the computationally efficient </w:t>
      </w:r>
      <w:proofErr w:type="spellStart"/>
      <w:r w:rsidRPr="007E5190">
        <w:rPr>
          <w:rFonts w:ascii="Times New Roman" w:hAnsi="Times New Roman" w:cs="Times New Roman"/>
          <w:color w:val="0D0D0D" w:themeColor="text1" w:themeTint="F2"/>
        </w:rPr>
        <w:t>AutoDock</w:t>
      </w:r>
      <w:proofErr w:type="spellEnd"/>
      <w:r w:rsidRPr="007E5190">
        <w:rPr>
          <w:rFonts w:ascii="Times New Roman" w:hAnsi="Times New Roman" w:cs="Times New Roman"/>
          <w:color w:val="0D0D0D" w:themeColor="text1" w:themeTint="F2"/>
        </w:rPr>
        <w:t xml:space="preserve"> Vina.</w:t>
      </w:r>
    </w:p>
    <w:p w14:paraId="18012BC7" w14:textId="0EDE1743" w:rsidR="00561C5A" w:rsidRPr="007E5190" w:rsidRDefault="00561C5A" w:rsidP="00561C5A">
      <w:pPr>
        <w:pStyle w:val="Caption"/>
        <w:keepNext/>
        <w:rPr>
          <w:rFonts w:ascii="Times New Roman" w:hAnsi="Times New Roman" w:cs="Times New Roman"/>
          <w:color w:val="0D0D0D" w:themeColor="text1" w:themeTint="F2"/>
          <w:sz w:val="24"/>
          <w:szCs w:val="24"/>
        </w:rPr>
      </w:pPr>
      <w:bookmarkStart w:id="5" w:name="_Ref213047924"/>
      <w:r w:rsidRPr="007E5190">
        <w:rPr>
          <w:rFonts w:ascii="Times New Roman" w:hAnsi="Times New Roman" w:cs="Times New Roman"/>
          <w:color w:val="0D0D0D" w:themeColor="text1" w:themeTint="F2"/>
          <w:sz w:val="24"/>
          <w:szCs w:val="24"/>
        </w:rPr>
        <w:t xml:space="preserve">Table </w:t>
      </w:r>
      <w:r w:rsidRPr="007E5190">
        <w:rPr>
          <w:rFonts w:ascii="Times New Roman" w:hAnsi="Times New Roman" w:cs="Times New Roman"/>
          <w:color w:val="0D0D0D" w:themeColor="text1" w:themeTint="F2"/>
          <w:sz w:val="24"/>
          <w:szCs w:val="24"/>
        </w:rPr>
        <w:fldChar w:fldCharType="begin"/>
      </w:r>
      <w:r w:rsidRPr="007E5190">
        <w:rPr>
          <w:rFonts w:ascii="Times New Roman" w:hAnsi="Times New Roman" w:cs="Times New Roman"/>
          <w:color w:val="0D0D0D" w:themeColor="text1" w:themeTint="F2"/>
          <w:sz w:val="24"/>
          <w:szCs w:val="24"/>
        </w:rPr>
        <w:instrText xml:space="preserve"> SEQ Table \* ARABIC </w:instrText>
      </w:r>
      <w:r w:rsidRPr="007E5190">
        <w:rPr>
          <w:rFonts w:ascii="Times New Roman" w:hAnsi="Times New Roman" w:cs="Times New Roman"/>
          <w:color w:val="0D0D0D" w:themeColor="text1" w:themeTint="F2"/>
          <w:sz w:val="24"/>
          <w:szCs w:val="24"/>
        </w:rPr>
        <w:fldChar w:fldCharType="separate"/>
      </w:r>
      <w:r w:rsidR="002E56DD" w:rsidRPr="007E5190">
        <w:rPr>
          <w:rFonts w:ascii="Times New Roman" w:hAnsi="Times New Roman" w:cs="Times New Roman"/>
          <w:noProof/>
          <w:color w:val="0D0D0D" w:themeColor="text1" w:themeTint="F2"/>
          <w:sz w:val="24"/>
          <w:szCs w:val="24"/>
        </w:rPr>
        <w:t>4</w:t>
      </w:r>
      <w:r w:rsidRPr="007E5190">
        <w:rPr>
          <w:rFonts w:ascii="Times New Roman" w:hAnsi="Times New Roman" w:cs="Times New Roman"/>
          <w:color w:val="0D0D0D" w:themeColor="text1" w:themeTint="F2"/>
          <w:sz w:val="24"/>
          <w:szCs w:val="24"/>
        </w:rPr>
        <w:fldChar w:fldCharType="end"/>
      </w:r>
      <w:bookmarkEnd w:id="5"/>
      <w:r w:rsidRPr="007E5190">
        <w:rPr>
          <w:rFonts w:ascii="Times New Roman" w:hAnsi="Times New Roman" w:cs="Times New Roman"/>
          <w:color w:val="0D0D0D" w:themeColor="text1" w:themeTint="F2"/>
          <w:sz w:val="24"/>
          <w:szCs w:val="24"/>
        </w:rPr>
        <w:t xml:space="preserve">. Top-Scoring Candidates from </w:t>
      </w:r>
      <w:proofErr w:type="spellStart"/>
      <w:r w:rsidRPr="007E5190">
        <w:rPr>
          <w:rFonts w:ascii="Times New Roman" w:hAnsi="Times New Roman" w:cs="Times New Roman"/>
          <w:color w:val="0D0D0D" w:themeColor="text1" w:themeTint="F2"/>
          <w:sz w:val="24"/>
          <w:szCs w:val="24"/>
        </w:rPr>
        <w:t>AutoDock</w:t>
      </w:r>
      <w:proofErr w:type="spellEnd"/>
      <w:r w:rsidRPr="007E5190">
        <w:rPr>
          <w:rFonts w:ascii="Times New Roman" w:hAnsi="Times New Roman" w:cs="Times New Roman"/>
          <w:color w:val="0D0D0D" w:themeColor="text1" w:themeTint="F2"/>
          <w:sz w:val="24"/>
          <w:szCs w:val="24"/>
        </w:rPr>
        <w:t xml:space="preserve"> Vina Virtual Screening</w:t>
      </w:r>
    </w:p>
    <w:tbl>
      <w:tblPr>
        <w:tblStyle w:val="TableGrid"/>
        <w:tblW w:w="0" w:type="auto"/>
        <w:jc w:val="center"/>
        <w:tblLook w:val="04A0" w:firstRow="1" w:lastRow="0" w:firstColumn="1" w:lastColumn="0" w:noHBand="0" w:noVBand="1"/>
      </w:tblPr>
      <w:tblGrid>
        <w:gridCol w:w="532"/>
        <w:gridCol w:w="1568"/>
        <w:gridCol w:w="1490"/>
        <w:gridCol w:w="1110"/>
        <w:gridCol w:w="1376"/>
        <w:gridCol w:w="1395"/>
        <w:gridCol w:w="1015"/>
        <w:gridCol w:w="874"/>
      </w:tblGrid>
      <w:tr w:rsidR="005E631E" w:rsidRPr="007E5190" w14:paraId="62BB723E" w14:textId="77777777" w:rsidTr="006D072F">
        <w:trPr>
          <w:trHeight w:val="864"/>
          <w:tblHeader/>
          <w:jc w:val="center"/>
        </w:trPr>
        <w:tc>
          <w:tcPr>
            <w:tcW w:w="0" w:type="auto"/>
            <w:vMerge w:val="restart"/>
            <w:tcBorders>
              <w:left w:val="nil"/>
              <w:bottom w:val="nil"/>
              <w:right w:val="nil"/>
            </w:tcBorders>
            <w:vAlign w:val="center"/>
          </w:tcPr>
          <w:p w14:paraId="1317B5E8" w14:textId="77777777" w:rsidR="00561C5A" w:rsidRPr="007E5190" w:rsidRDefault="00561C5A"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Sr. No</w:t>
            </w:r>
          </w:p>
        </w:tc>
        <w:tc>
          <w:tcPr>
            <w:tcW w:w="0" w:type="auto"/>
            <w:vMerge w:val="restart"/>
            <w:tcBorders>
              <w:left w:val="nil"/>
              <w:bottom w:val="nil"/>
              <w:right w:val="nil"/>
            </w:tcBorders>
            <w:vAlign w:val="center"/>
          </w:tcPr>
          <w:p w14:paraId="0FAA4307" w14:textId="77777777" w:rsidR="00561C5A" w:rsidRPr="007E5190" w:rsidRDefault="00561C5A"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Compound Name</w:t>
            </w:r>
          </w:p>
        </w:tc>
        <w:tc>
          <w:tcPr>
            <w:tcW w:w="0" w:type="auto"/>
            <w:vMerge w:val="restart"/>
            <w:tcBorders>
              <w:left w:val="nil"/>
              <w:bottom w:val="nil"/>
              <w:right w:val="nil"/>
            </w:tcBorders>
            <w:vAlign w:val="center"/>
          </w:tcPr>
          <w:p w14:paraId="11DA0A6F" w14:textId="77777777" w:rsidR="00561C5A" w:rsidRPr="007E5190" w:rsidRDefault="00561C5A"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CID of similar compounds</w:t>
            </w:r>
          </w:p>
        </w:tc>
        <w:tc>
          <w:tcPr>
            <w:tcW w:w="0" w:type="auto"/>
            <w:vMerge w:val="restart"/>
            <w:tcBorders>
              <w:left w:val="nil"/>
              <w:bottom w:val="nil"/>
              <w:right w:val="nil"/>
            </w:tcBorders>
            <w:vAlign w:val="center"/>
          </w:tcPr>
          <w:p w14:paraId="74CF0236" w14:textId="77777777" w:rsidR="00561C5A" w:rsidRPr="007E5190" w:rsidRDefault="00561C5A"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Source</w:t>
            </w:r>
          </w:p>
        </w:tc>
        <w:tc>
          <w:tcPr>
            <w:tcW w:w="0" w:type="auto"/>
            <w:vMerge w:val="restart"/>
            <w:tcBorders>
              <w:left w:val="nil"/>
              <w:bottom w:val="nil"/>
              <w:right w:val="nil"/>
            </w:tcBorders>
            <w:vAlign w:val="center"/>
          </w:tcPr>
          <w:p w14:paraId="4494D32B" w14:textId="77777777" w:rsidR="00561C5A" w:rsidRPr="007E5190" w:rsidRDefault="00561C5A" w:rsidP="00561C5A">
            <w:pPr>
              <w:jc w:val="center"/>
              <w:rPr>
                <w:rFonts w:ascii="Times New Roman" w:hAnsi="Times New Roman" w:cs="Times New Roman"/>
                <w:b/>
                <w:bCs/>
                <w:color w:val="0D0D0D" w:themeColor="text1" w:themeTint="F2"/>
                <w:lang w:val="sv-SE"/>
              </w:rPr>
            </w:pPr>
            <w:r w:rsidRPr="007E5190">
              <w:rPr>
                <w:rFonts w:ascii="Times New Roman" w:hAnsi="Times New Roman" w:cs="Times New Roman"/>
                <w:b/>
                <w:bCs/>
                <w:color w:val="0D0D0D" w:themeColor="text1" w:themeTint="F2"/>
                <w:lang w:val="sv-SE"/>
              </w:rPr>
              <w:t>Blind Dock Score (kcal/mol)</w:t>
            </w:r>
          </w:p>
        </w:tc>
        <w:tc>
          <w:tcPr>
            <w:tcW w:w="0" w:type="auto"/>
            <w:vMerge w:val="restart"/>
            <w:tcBorders>
              <w:left w:val="nil"/>
              <w:bottom w:val="nil"/>
              <w:right w:val="nil"/>
            </w:tcBorders>
            <w:vAlign w:val="center"/>
          </w:tcPr>
          <w:p w14:paraId="1C75F4B6" w14:textId="7AECCA1F" w:rsidR="00561C5A" w:rsidRPr="007E5190" w:rsidRDefault="007F10AE"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Focused</w:t>
            </w:r>
            <w:r w:rsidR="00561C5A" w:rsidRPr="007E5190">
              <w:rPr>
                <w:rFonts w:ascii="Times New Roman" w:hAnsi="Times New Roman" w:cs="Times New Roman"/>
                <w:b/>
                <w:bCs/>
                <w:color w:val="0D0D0D" w:themeColor="text1" w:themeTint="F2"/>
              </w:rPr>
              <w:t xml:space="preserve"> Dock Score (kcal/mol)</w:t>
            </w:r>
          </w:p>
        </w:tc>
        <w:tc>
          <w:tcPr>
            <w:tcW w:w="0" w:type="auto"/>
            <w:gridSpan w:val="2"/>
            <w:tcBorders>
              <w:left w:val="nil"/>
              <w:bottom w:val="single" w:sz="4" w:space="0" w:color="auto"/>
              <w:right w:val="nil"/>
            </w:tcBorders>
            <w:vAlign w:val="center"/>
          </w:tcPr>
          <w:p w14:paraId="7439A6A8" w14:textId="77777777" w:rsidR="00561C5A" w:rsidRPr="007E5190" w:rsidRDefault="00561C5A"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Compounds Filter according to Lipinski Rule of 5</w:t>
            </w:r>
          </w:p>
        </w:tc>
      </w:tr>
      <w:tr w:rsidR="005E631E" w:rsidRPr="007E5190" w14:paraId="0B5A1CC0" w14:textId="77777777" w:rsidTr="006D072F">
        <w:trPr>
          <w:trHeight w:val="864"/>
          <w:tblHeader/>
          <w:jc w:val="center"/>
        </w:trPr>
        <w:tc>
          <w:tcPr>
            <w:tcW w:w="0" w:type="auto"/>
            <w:vMerge/>
            <w:tcBorders>
              <w:top w:val="nil"/>
              <w:left w:val="nil"/>
              <w:bottom w:val="single" w:sz="4" w:space="0" w:color="auto"/>
              <w:right w:val="nil"/>
            </w:tcBorders>
            <w:vAlign w:val="center"/>
          </w:tcPr>
          <w:p w14:paraId="4C1A8E10" w14:textId="77777777" w:rsidR="00561C5A" w:rsidRPr="007E5190" w:rsidRDefault="00561C5A" w:rsidP="00561C5A">
            <w:pPr>
              <w:jc w:val="center"/>
              <w:rPr>
                <w:rFonts w:ascii="Times New Roman" w:hAnsi="Times New Roman" w:cs="Times New Roman"/>
                <w:b/>
                <w:bCs/>
                <w:color w:val="0D0D0D" w:themeColor="text1" w:themeTint="F2"/>
              </w:rPr>
            </w:pPr>
          </w:p>
        </w:tc>
        <w:tc>
          <w:tcPr>
            <w:tcW w:w="0" w:type="auto"/>
            <w:vMerge/>
            <w:tcBorders>
              <w:top w:val="nil"/>
              <w:left w:val="nil"/>
              <w:bottom w:val="single" w:sz="4" w:space="0" w:color="auto"/>
              <w:right w:val="nil"/>
            </w:tcBorders>
            <w:vAlign w:val="center"/>
          </w:tcPr>
          <w:p w14:paraId="31C8D7FA" w14:textId="77777777" w:rsidR="00561C5A" w:rsidRPr="007E5190" w:rsidRDefault="00561C5A" w:rsidP="00561C5A">
            <w:pPr>
              <w:jc w:val="center"/>
              <w:rPr>
                <w:rFonts w:ascii="Times New Roman" w:hAnsi="Times New Roman" w:cs="Times New Roman"/>
                <w:b/>
                <w:bCs/>
                <w:color w:val="0D0D0D" w:themeColor="text1" w:themeTint="F2"/>
              </w:rPr>
            </w:pPr>
          </w:p>
        </w:tc>
        <w:tc>
          <w:tcPr>
            <w:tcW w:w="0" w:type="auto"/>
            <w:vMerge/>
            <w:tcBorders>
              <w:top w:val="nil"/>
              <w:left w:val="nil"/>
              <w:bottom w:val="single" w:sz="4" w:space="0" w:color="auto"/>
              <w:right w:val="nil"/>
            </w:tcBorders>
            <w:vAlign w:val="center"/>
          </w:tcPr>
          <w:p w14:paraId="01125556" w14:textId="77777777" w:rsidR="00561C5A" w:rsidRPr="007E5190" w:rsidRDefault="00561C5A" w:rsidP="00561C5A">
            <w:pPr>
              <w:jc w:val="center"/>
              <w:rPr>
                <w:rFonts w:ascii="Times New Roman" w:hAnsi="Times New Roman" w:cs="Times New Roman"/>
                <w:b/>
                <w:bCs/>
                <w:color w:val="0D0D0D" w:themeColor="text1" w:themeTint="F2"/>
              </w:rPr>
            </w:pPr>
          </w:p>
        </w:tc>
        <w:tc>
          <w:tcPr>
            <w:tcW w:w="0" w:type="auto"/>
            <w:vMerge/>
            <w:tcBorders>
              <w:top w:val="nil"/>
              <w:left w:val="nil"/>
              <w:bottom w:val="single" w:sz="4" w:space="0" w:color="auto"/>
              <w:right w:val="nil"/>
            </w:tcBorders>
            <w:vAlign w:val="center"/>
          </w:tcPr>
          <w:p w14:paraId="37606A9B" w14:textId="77777777" w:rsidR="00561C5A" w:rsidRPr="007E5190" w:rsidRDefault="00561C5A" w:rsidP="00561C5A">
            <w:pPr>
              <w:jc w:val="center"/>
              <w:rPr>
                <w:rFonts w:ascii="Times New Roman" w:hAnsi="Times New Roman" w:cs="Times New Roman"/>
                <w:b/>
                <w:bCs/>
                <w:color w:val="0D0D0D" w:themeColor="text1" w:themeTint="F2"/>
              </w:rPr>
            </w:pPr>
          </w:p>
        </w:tc>
        <w:tc>
          <w:tcPr>
            <w:tcW w:w="0" w:type="auto"/>
            <w:vMerge/>
            <w:tcBorders>
              <w:top w:val="nil"/>
              <w:left w:val="nil"/>
              <w:bottom w:val="single" w:sz="4" w:space="0" w:color="auto"/>
              <w:right w:val="nil"/>
            </w:tcBorders>
            <w:vAlign w:val="center"/>
          </w:tcPr>
          <w:p w14:paraId="08E69627" w14:textId="77777777" w:rsidR="00561C5A" w:rsidRPr="007E5190" w:rsidRDefault="00561C5A" w:rsidP="00561C5A">
            <w:pPr>
              <w:jc w:val="center"/>
              <w:rPr>
                <w:rFonts w:ascii="Times New Roman" w:hAnsi="Times New Roman" w:cs="Times New Roman"/>
                <w:b/>
                <w:bCs/>
                <w:color w:val="0D0D0D" w:themeColor="text1" w:themeTint="F2"/>
              </w:rPr>
            </w:pPr>
          </w:p>
        </w:tc>
        <w:tc>
          <w:tcPr>
            <w:tcW w:w="0" w:type="auto"/>
            <w:vMerge/>
            <w:tcBorders>
              <w:top w:val="nil"/>
              <w:left w:val="nil"/>
              <w:bottom w:val="single" w:sz="4" w:space="0" w:color="auto"/>
              <w:right w:val="nil"/>
            </w:tcBorders>
            <w:vAlign w:val="center"/>
          </w:tcPr>
          <w:p w14:paraId="111B0CF2" w14:textId="77777777" w:rsidR="00561C5A" w:rsidRPr="007E5190" w:rsidRDefault="00561C5A" w:rsidP="00561C5A">
            <w:pPr>
              <w:jc w:val="center"/>
              <w:rPr>
                <w:rFonts w:ascii="Times New Roman" w:hAnsi="Times New Roman" w:cs="Times New Roman"/>
                <w:b/>
                <w:bCs/>
                <w:color w:val="0D0D0D" w:themeColor="text1" w:themeTint="F2"/>
              </w:rPr>
            </w:pPr>
          </w:p>
        </w:tc>
        <w:tc>
          <w:tcPr>
            <w:tcW w:w="0" w:type="auto"/>
            <w:tcBorders>
              <w:top w:val="single" w:sz="4" w:space="0" w:color="auto"/>
              <w:left w:val="nil"/>
              <w:bottom w:val="single" w:sz="4" w:space="0" w:color="auto"/>
              <w:right w:val="nil"/>
            </w:tcBorders>
            <w:vAlign w:val="center"/>
          </w:tcPr>
          <w:p w14:paraId="55CC4AEC" w14:textId="77777777" w:rsidR="00561C5A" w:rsidRPr="007E5190" w:rsidRDefault="00561C5A"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Before filter</w:t>
            </w:r>
          </w:p>
        </w:tc>
        <w:tc>
          <w:tcPr>
            <w:tcW w:w="0" w:type="auto"/>
            <w:tcBorders>
              <w:top w:val="single" w:sz="4" w:space="0" w:color="auto"/>
              <w:left w:val="nil"/>
              <w:bottom w:val="single" w:sz="4" w:space="0" w:color="auto"/>
              <w:right w:val="nil"/>
            </w:tcBorders>
            <w:vAlign w:val="center"/>
          </w:tcPr>
          <w:p w14:paraId="1963239E" w14:textId="77777777" w:rsidR="00561C5A" w:rsidRPr="007E5190" w:rsidRDefault="00561C5A" w:rsidP="00561C5A">
            <w:pPr>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After filter</w:t>
            </w:r>
          </w:p>
        </w:tc>
      </w:tr>
      <w:tr w:rsidR="005E631E" w:rsidRPr="007E5190" w14:paraId="6FBF023A" w14:textId="77777777" w:rsidTr="006D072F">
        <w:trPr>
          <w:trHeight w:val="552"/>
          <w:jc w:val="center"/>
        </w:trPr>
        <w:tc>
          <w:tcPr>
            <w:tcW w:w="0" w:type="auto"/>
            <w:tcBorders>
              <w:top w:val="single" w:sz="4" w:space="0" w:color="auto"/>
              <w:left w:val="nil"/>
              <w:bottom w:val="nil"/>
              <w:right w:val="nil"/>
            </w:tcBorders>
            <w:vAlign w:val="center"/>
          </w:tcPr>
          <w:p w14:paraId="1B0D95A5"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0" w:type="auto"/>
            <w:tcBorders>
              <w:top w:val="single" w:sz="4" w:space="0" w:color="auto"/>
              <w:left w:val="nil"/>
              <w:bottom w:val="nil"/>
              <w:right w:val="nil"/>
            </w:tcBorders>
            <w:vAlign w:val="center"/>
          </w:tcPr>
          <w:p w14:paraId="73328EA4" w14:textId="77777777" w:rsidR="00561C5A" w:rsidRPr="007E5190" w:rsidRDefault="00561C5A"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Chelerythrine</w:t>
            </w:r>
            <w:proofErr w:type="spellEnd"/>
          </w:p>
        </w:tc>
        <w:tc>
          <w:tcPr>
            <w:tcW w:w="0" w:type="auto"/>
            <w:tcBorders>
              <w:top w:val="single" w:sz="4" w:space="0" w:color="auto"/>
              <w:left w:val="nil"/>
              <w:bottom w:val="nil"/>
              <w:right w:val="nil"/>
            </w:tcBorders>
            <w:vAlign w:val="center"/>
          </w:tcPr>
          <w:p w14:paraId="75971027"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25093273</w:t>
            </w:r>
          </w:p>
        </w:tc>
        <w:tc>
          <w:tcPr>
            <w:tcW w:w="0" w:type="auto"/>
            <w:tcBorders>
              <w:top w:val="single" w:sz="4" w:space="0" w:color="auto"/>
              <w:left w:val="nil"/>
              <w:bottom w:val="nil"/>
              <w:right w:val="nil"/>
            </w:tcBorders>
            <w:vAlign w:val="center"/>
          </w:tcPr>
          <w:p w14:paraId="3F539BA2" w14:textId="77777777" w:rsidR="00561C5A" w:rsidRPr="007E5190" w:rsidRDefault="00561C5A"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0" w:type="auto"/>
            <w:tcBorders>
              <w:top w:val="single" w:sz="4" w:space="0" w:color="auto"/>
              <w:left w:val="nil"/>
              <w:bottom w:val="nil"/>
              <w:right w:val="nil"/>
            </w:tcBorders>
            <w:vAlign w:val="center"/>
          </w:tcPr>
          <w:p w14:paraId="05866C3F"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-6.3</w:t>
            </w:r>
          </w:p>
        </w:tc>
        <w:tc>
          <w:tcPr>
            <w:tcW w:w="0" w:type="auto"/>
            <w:tcBorders>
              <w:top w:val="single" w:sz="4" w:space="0" w:color="auto"/>
              <w:left w:val="nil"/>
              <w:bottom w:val="nil"/>
              <w:right w:val="nil"/>
            </w:tcBorders>
            <w:vAlign w:val="center"/>
          </w:tcPr>
          <w:p w14:paraId="10F370ED"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-6.2</w:t>
            </w:r>
          </w:p>
        </w:tc>
        <w:tc>
          <w:tcPr>
            <w:tcW w:w="0" w:type="auto"/>
            <w:tcBorders>
              <w:top w:val="single" w:sz="4" w:space="0" w:color="auto"/>
              <w:left w:val="nil"/>
              <w:bottom w:val="nil"/>
              <w:right w:val="nil"/>
            </w:tcBorders>
            <w:vAlign w:val="center"/>
          </w:tcPr>
          <w:p w14:paraId="663FE4E0"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1000</w:t>
            </w:r>
          </w:p>
        </w:tc>
        <w:tc>
          <w:tcPr>
            <w:tcW w:w="0" w:type="auto"/>
            <w:tcBorders>
              <w:top w:val="single" w:sz="4" w:space="0" w:color="auto"/>
              <w:left w:val="nil"/>
              <w:bottom w:val="nil"/>
              <w:right w:val="nil"/>
            </w:tcBorders>
            <w:vAlign w:val="center"/>
          </w:tcPr>
          <w:p w14:paraId="3C3C48BB"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15</w:t>
            </w:r>
          </w:p>
        </w:tc>
      </w:tr>
      <w:tr w:rsidR="005E631E" w:rsidRPr="007E5190" w14:paraId="141C6C8C" w14:textId="77777777" w:rsidTr="006D072F">
        <w:trPr>
          <w:trHeight w:val="552"/>
          <w:jc w:val="center"/>
        </w:trPr>
        <w:tc>
          <w:tcPr>
            <w:tcW w:w="0" w:type="auto"/>
            <w:tcBorders>
              <w:top w:val="nil"/>
              <w:left w:val="nil"/>
              <w:bottom w:val="nil"/>
              <w:right w:val="nil"/>
            </w:tcBorders>
            <w:vAlign w:val="center"/>
          </w:tcPr>
          <w:p w14:paraId="0DC5522D"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0" w:type="auto"/>
            <w:tcBorders>
              <w:top w:val="nil"/>
              <w:left w:val="nil"/>
              <w:bottom w:val="nil"/>
              <w:right w:val="nil"/>
            </w:tcBorders>
            <w:vAlign w:val="center"/>
          </w:tcPr>
          <w:p w14:paraId="65EE396C"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Lupeol</w:t>
            </w:r>
          </w:p>
        </w:tc>
        <w:tc>
          <w:tcPr>
            <w:tcW w:w="0" w:type="auto"/>
            <w:tcBorders>
              <w:top w:val="nil"/>
              <w:left w:val="nil"/>
              <w:bottom w:val="nil"/>
              <w:right w:val="nil"/>
            </w:tcBorders>
            <w:vAlign w:val="center"/>
          </w:tcPr>
          <w:p w14:paraId="7F1DE376"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70626379</w:t>
            </w:r>
          </w:p>
        </w:tc>
        <w:tc>
          <w:tcPr>
            <w:tcW w:w="0" w:type="auto"/>
            <w:tcBorders>
              <w:top w:val="nil"/>
              <w:left w:val="nil"/>
              <w:bottom w:val="nil"/>
              <w:right w:val="nil"/>
            </w:tcBorders>
            <w:vAlign w:val="center"/>
          </w:tcPr>
          <w:p w14:paraId="38AC100B" w14:textId="77777777" w:rsidR="00561C5A" w:rsidRPr="007E5190" w:rsidRDefault="00561C5A"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0" w:type="auto"/>
            <w:tcBorders>
              <w:top w:val="nil"/>
              <w:left w:val="nil"/>
              <w:bottom w:val="nil"/>
              <w:right w:val="nil"/>
            </w:tcBorders>
            <w:vAlign w:val="center"/>
          </w:tcPr>
          <w:p w14:paraId="3BF0384F"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-6.3</w:t>
            </w:r>
          </w:p>
        </w:tc>
        <w:tc>
          <w:tcPr>
            <w:tcW w:w="0" w:type="auto"/>
            <w:tcBorders>
              <w:top w:val="nil"/>
              <w:left w:val="nil"/>
              <w:bottom w:val="nil"/>
              <w:right w:val="nil"/>
            </w:tcBorders>
            <w:vAlign w:val="center"/>
          </w:tcPr>
          <w:p w14:paraId="09ACFF07"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-7.3</w:t>
            </w:r>
          </w:p>
        </w:tc>
        <w:tc>
          <w:tcPr>
            <w:tcW w:w="0" w:type="auto"/>
            <w:tcBorders>
              <w:top w:val="nil"/>
              <w:left w:val="nil"/>
              <w:bottom w:val="nil"/>
              <w:right w:val="nil"/>
            </w:tcBorders>
            <w:vAlign w:val="center"/>
          </w:tcPr>
          <w:p w14:paraId="4CC0583B"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1000</w:t>
            </w:r>
          </w:p>
        </w:tc>
        <w:tc>
          <w:tcPr>
            <w:tcW w:w="0" w:type="auto"/>
            <w:tcBorders>
              <w:top w:val="nil"/>
              <w:left w:val="nil"/>
              <w:bottom w:val="nil"/>
              <w:right w:val="nil"/>
            </w:tcBorders>
            <w:vAlign w:val="center"/>
          </w:tcPr>
          <w:p w14:paraId="0A059B1D"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17</w:t>
            </w:r>
          </w:p>
        </w:tc>
      </w:tr>
      <w:tr w:rsidR="005E631E" w:rsidRPr="007E5190" w14:paraId="734A7462" w14:textId="77777777" w:rsidTr="006D072F">
        <w:trPr>
          <w:trHeight w:val="552"/>
          <w:jc w:val="center"/>
        </w:trPr>
        <w:tc>
          <w:tcPr>
            <w:tcW w:w="0" w:type="auto"/>
            <w:tcBorders>
              <w:top w:val="nil"/>
              <w:left w:val="nil"/>
              <w:bottom w:val="nil"/>
              <w:right w:val="nil"/>
            </w:tcBorders>
            <w:vAlign w:val="center"/>
          </w:tcPr>
          <w:p w14:paraId="217CF580"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w:t>
            </w:r>
          </w:p>
        </w:tc>
        <w:tc>
          <w:tcPr>
            <w:tcW w:w="0" w:type="auto"/>
            <w:tcBorders>
              <w:top w:val="nil"/>
              <w:left w:val="nil"/>
              <w:bottom w:val="nil"/>
              <w:right w:val="nil"/>
            </w:tcBorders>
            <w:vAlign w:val="center"/>
          </w:tcPr>
          <w:p w14:paraId="51E303A5"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Quercetin</w:t>
            </w:r>
          </w:p>
        </w:tc>
        <w:tc>
          <w:tcPr>
            <w:tcW w:w="0" w:type="auto"/>
            <w:tcBorders>
              <w:top w:val="nil"/>
              <w:left w:val="nil"/>
              <w:bottom w:val="nil"/>
              <w:right w:val="nil"/>
            </w:tcBorders>
            <w:vAlign w:val="center"/>
          </w:tcPr>
          <w:p w14:paraId="0D0FAA1C"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168296925</w:t>
            </w:r>
          </w:p>
        </w:tc>
        <w:tc>
          <w:tcPr>
            <w:tcW w:w="0" w:type="auto"/>
            <w:tcBorders>
              <w:top w:val="nil"/>
              <w:left w:val="nil"/>
              <w:bottom w:val="nil"/>
              <w:right w:val="nil"/>
            </w:tcBorders>
            <w:vAlign w:val="center"/>
          </w:tcPr>
          <w:p w14:paraId="2CFDAD7E" w14:textId="77777777" w:rsidR="00561C5A" w:rsidRPr="007E5190" w:rsidRDefault="00561C5A"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0" w:type="auto"/>
            <w:tcBorders>
              <w:top w:val="nil"/>
              <w:left w:val="nil"/>
              <w:bottom w:val="nil"/>
              <w:right w:val="nil"/>
            </w:tcBorders>
            <w:vAlign w:val="center"/>
          </w:tcPr>
          <w:p w14:paraId="1AF592E4"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-6.7</w:t>
            </w:r>
          </w:p>
        </w:tc>
        <w:tc>
          <w:tcPr>
            <w:tcW w:w="0" w:type="auto"/>
            <w:tcBorders>
              <w:top w:val="nil"/>
              <w:left w:val="nil"/>
              <w:bottom w:val="nil"/>
              <w:right w:val="nil"/>
            </w:tcBorders>
            <w:vAlign w:val="center"/>
          </w:tcPr>
          <w:p w14:paraId="5A10FFAE"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-6.6</w:t>
            </w:r>
          </w:p>
        </w:tc>
        <w:tc>
          <w:tcPr>
            <w:tcW w:w="0" w:type="auto"/>
            <w:tcBorders>
              <w:top w:val="nil"/>
              <w:left w:val="nil"/>
              <w:bottom w:val="nil"/>
              <w:right w:val="nil"/>
            </w:tcBorders>
            <w:vAlign w:val="center"/>
          </w:tcPr>
          <w:p w14:paraId="592DA1A8"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1000</w:t>
            </w:r>
          </w:p>
        </w:tc>
        <w:tc>
          <w:tcPr>
            <w:tcW w:w="0" w:type="auto"/>
            <w:tcBorders>
              <w:top w:val="nil"/>
              <w:left w:val="nil"/>
              <w:bottom w:val="nil"/>
              <w:right w:val="nil"/>
            </w:tcBorders>
            <w:vAlign w:val="center"/>
          </w:tcPr>
          <w:p w14:paraId="469F9601"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42</w:t>
            </w:r>
          </w:p>
        </w:tc>
      </w:tr>
      <w:tr w:rsidR="005E631E" w:rsidRPr="007E5190" w14:paraId="4D3EEA36" w14:textId="77777777" w:rsidTr="006D072F">
        <w:trPr>
          <w:trHeight w:val="552"/>
          <w:jc w:val="center"/>
        </w:trPr>
        <w:tc>
          <w:tcPr>
            <w:tcW w:w="0" w:type="auto"/>
            <w:tcBorders>
              <w:top w:val="nil"/>
              <w:left w:val="nil"/>
              <w:bottom w:val="nil"/>
              <w:right w:val="nil"/>
            </w:tcBorders>
            <w:vAlign w:val="center"/>
          </w:tcPr>
          <w:p w14:paraId="0A5FD382"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0" w:type="auto"/>
            <w:tcBorders>
              <w:top w:val="nil"/>
              <w:left w:val="nil"/>
              <w:bottom w:val="nil"/>
              <w:right w:val="nil"/>
            </w:tcBorders>
            <w:vAlign w:val="center"/>
          </w:tcPr>
          <w:p w14:paraId="1941D81A" w14:textId="77777777" w:rsidR="00561C5A" w:rsidRPr="007E5190" w:rsidRDefault="00561C5A"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Ursolic</w:t>
            </w:r>
            <w:proofErr w:type="spellEnd"/>
            <w:r w:rsidRPr="007E5190">
              <w:rPr>
                <w:rFonts w:ascii="Times New Roman" w:hAnsi="Times New Roman" w:cs="Times New Roman"/>
                <w:color w:val="0D0D0D" w:themeColor="text1" w:themeTint="F2"/>
              </w:rPr>
              <w:t xml:space="preserve"> Acid</w:t>
            </w:r>
          </w:p>
        </w:tc>
        <w:tc>
          <w:tcPr>
            <w:tcW w:w="0" w:type="auto"/>
            <w:tcBorders>
              <w:top w:val="nil"/>
              <w:left w:val="nil"/>
              <w:bottom w:val="nil"/>
              <w:right w:val="nil"/>
            </w:tcBorders>
            <w:vAlign w:val="center"/>
          </w:tcPr>
          <w:p w14:paraId="0E0C27ED"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70680338</w:t>
            </w:r>
          </w:p>
        </w:tc>
        <w:tc>
          <w:tcPr>
            <w:tcW w:w="0" w:type="auto"/>
            <w:tcBorders>
              <w:top w:val="nil"/>
              <w:left w:val="nil"/>
              <w:bottom w:val="nil"/>
              <w:right w:val="nil"/>
            </w:tcBorders>
            <w:vAlign w:val="center"/>
          </w:tcPr>
          <w:p w14:paraId="036477B5" w14:textId="77777777" w:rsidR="00561C5A" w:rsidRPr="007E5190" w:rsidRDefault="00561C5A"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0" w:type="auto"/>
            <w:tcBorders>
              <w:top w:val="nil"/>
              <w:left w:val="nil"/>
              <w:bottom w:val="nil"/>
              <w:right w:val="nil"/>
            </w:tcBorders>
            <w:vAlign w:val="center"/>
          </w:tcPr>
          <w:p w14:paraId="40510E9B"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-7.3</w:t>
            </w:r>
          </w:p>
        </w:tc>
        <w:tc>
          <w:tcPr>
            <w:tcW w:w="0" w:type="auto"/>
            <w:tcBorders>
              <w:top w:val="nil"/>
              <w:left w:val="nil"/>
              <w:bottom w:val="nil"/>
              <w:right w:val="nil"/>
            </w:tcBorders>
            <w:vAlign w:val="center"/>
          </w:tcPr>
          <w:p w14:paraId="00AA1E77"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-7.2</w:t>
            </w:r>
          </w:p>
        </w:tc>
        <w:tc>
          <w:tcPr>
            <w:tcW w:w="0" w:type="auto"/>
            <w:tcBorders>
              <w:top w:val="nil"/>
              <w:left w:val="nil"/>
              <w:bottom w:val="nil"/>
              <w:right w:val="nil"/>
            </w:tcBorders>
            <w:vAlign w:val="center"/>
          </w:tcPr>
          <w:p w14:paraId="195F59A7"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1000</w:t>
            </w:r>
          </w:p>
        </w:tc>
        <w:tc>
          <w:tcPr>
            <w:tcW w:w="0" w:type="auto"/>
            <w:tcBorders>
              <w:top w:val="nil"/>
              <w:left w:val="nil"/>
              <w:bottom w:val="nil"/>
              <w:right w:val="nil"/>
            </w:tcBorders>
            <w:vAlign w:val="center"/>
          </w:tcPr>
          <w:p w14:paraId="79FF2BC4"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28</w:t>
            </w:r>
          </w:p>
        </w:tc>
      </w:tr>
      <w:tr w:rsidR="005E631E" w:rsidRPr="007E5190" w14:paraId="10533A83" w14:textId="77777777" w:rsidTr="006D072F">
        <w:trPr>
          <w:trHeight w:val="552"/>
          <w:jc w:val="center"/>
        </w:trPr>
        <w:tc>
          <w:tcPr>
            <w:tcW w:w="0" w:type="auto"/>
            <w:tcBorders>
              <w:top w:val="nil"/>
              <w:left w:val="nil"/>
              <w:bottom w:val="nil"/>
              <w:right w:val="nil"/>
            </w:tcBorders>
            <w:vAlign w:val="center"/>
          </w:tcPr>
          <w:p w14:paraId="01AC0059"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0" w:type="auto"/>
            <w:tcBorders>
              <w:top w:val="nil"/>
              <w:left w:val="nil"/>
              <w:bottom w:val="nil"/>
              <w:right w:val="nil"/>
            </w:tcBorders>
            <w:vAlign w:val="center"/>
          </w:tcPr>
          <w:p w14:paraId="3E960AEF" w14:textId="77777777" w:rsidR="00561C5A" w:rsidRPr="007E5190" w:rsidRDefault="00561C5A"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w:t>
            </w:r>
          </w:p>
        </w:tc>
        <w:tc>
          <w:tcPr>
            <w:tcW w:w="0" w:type="auto"/>
            <w:tcBorders>
              <w:top w:val="nil"/>
              <w:left w:val="nil"/>
              <w:bottom w:val="nil"/>
              <w:right w:val="nil"/>
            </w:tcBorders>
            <w:vAlign w:val="center"/>
          </w:tcPr>
          <w:p w14:paraId="1D2E39F0"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163053220</w:t>
            </w:r>
          </w:p>
        </w:tc>
        <w:tc>
          <w:tcPr>
            <w:tcW w:w="0" w:type="auto"/>
            <w:tcBorders>
              <w:top w:val="nil"/>
              <w:left w:val="nil"/>
              <w:bottom w:val="nil"/>
              <w:right w:val="nil"/>
            </w:tcBorders>
            <w:vAlign w:val="center"/>
          </w:tcPr>
          <w:p w14:paraId="11715EC4" w14:textId="77777777" w:rsidR="00561C5A" w:rsidRPr="007E5190" w:rsidRDefault="00561C5A"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0" w:type="auto"/>
            <w:tcBorders>
              <w:top w:val="nil"/>
              <w:left w:val="nil"/>
              <w:bottom w:val="nil"/>
              <w:right w:val="nil"/>
            </w:tcBorders>
            <w:vAlign w:val="center"/>
          </w:tcPr>
          <w:p w14:paraId="454D4FFB"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-7.2</w:t>
            </w:r>
          </w:p>
        </w:tc>
        <w:tc>
          <w:tcPr>
            <w:tcW w:w="0" w:type="auto"/>
            <w:tcBorders>
              <w:top w:val="nil"/>
              <w:left w:val="nil"/>
              <w:bottom w:val="nil"/>
              <w:right w:val="nil"/>
            </w:tcBorders>
            <w:vAlign w:val="center"/>
          </w:tcPr>
          <w:p w14:paraId="420234AA"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-7.4</w:t>
            </w:r>
          </w:p>
        </w:tc>
        <w:tc>
          <w:tcPr>
            <w:tcW w:w="0" w:type="auto"/>
            <w:tcBorders>
              <w:top w:val="nil"/>
              <w:left w:val="nil"/>
              <w:bottom w:val="nil"/>
              <w:right w:val="nil"/>
            </w:tcBorders>
            <w:vAlign w:val="center"/>
          </w:tcPr>
          <w:p w14:paraId="69AB277C"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1000</w:t>
            </w:r>
          </w:p>
        </w:tc>
        <w:tc>
          <w:tcPr>
            <w:tcW w:w="0" w:type="auto"/>
            <w:tcBorders>
              <w:top w:val="nil"/>
              <w:left w:val="nil"/>
              <w:bottom w:val="nil"/>
              <w:right w:val="nil"/>
            </w:tcBorders>
            <w:vAlign w:val="center"/>
          </w:tcPr>
          <w:p w14:paraId="6616B60F"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42</w:t>
            </w:r>
          </w:p>
        </w:tc>
      </w:tr>
      <w:tr w:rsidR="005E631E" w:rsidRPr="007E5190" w14:paraId="672D9C66" w14:textId="77777777" w:rsidTr="006D072F">
        <w:trPr>
          <w:trHeight w:val="552"/>
          <w:jc w:val="center"/>
        </w:trPr>
        <w:tc>
          <w:tcPr>
            <w:tcW w:w="0" w:type="auto"/>
            <w:tcBorders>
              <w:top w:val="nil"/>
              <w:left w:val="nil"/>
              <w:bottom w:val="nil"/>
              <w:right w:val="nil"/>
            </w:tcBorders>
            <w:vAlign w:val="center"/>
          </w:tcPr>
          <w:p w14:paraId="63F87DFE"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w:t>
            </w:r>
          </w:p>
        </w:tc>
        <w:tc>
          <w:tcPr>
            <w:tcW w:w="0" w:type="auto"/>
            <w:tcBorders>
              <w:top w:val="nil"/>
              <w:left w:val="nil"/>
              <w:bottom w:val="nil"/>
              <w:right w:val="nil"/>
            </w:tcBorders>
            <w:vAlign w:val="center"/>
          </w:tcPr>
          <w:p w14:paraId="4F066146"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Hederagenin</w:t>
            </w:r>
          </w:p>
        </w:tc>
        <w:tc>
          <w:tcPr>
            <w:tcW w:w="0" w:type="auto"/>
            <w:tcBorders>
              <w:top w:val="nil"/>
              <w:left w:val="nil"/>
              <w:bottom w:val="nil"/>
              <w:right w:val="nil"/>
            </w:tcBorders>
            <w:vAlign w:val="center"/>
          </w:tcPr>
          <w:p w14:paraId="42CE98C4"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137633443</w:t>
            </w:r>
          </w:p>
        </w:tc>
        <w:tc>
          <w:tcPr>
            <w:tcW w:w="0" w:type="auto"/>
            <w:tcBorders>
              <w:top w:val="nil"/>
              <w:left w:val="nil"/>
              <w:bottom w:val="nil"/>
              <w:right w:val="nil"/>
            </w:tcBorders>
            <w:vAlign w:val="center"/>
          </w:tcPr>
          <w:p w14:paraId="0AC764FB" w14:textId="77777777" w:rsidR="00561C5A" w:rsidRPr="007E5190" w:rsidRDefault="00561C5A"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0" w:type="auto"/>
            <w:tcBorders>
              <w:top w:val="nil"/>
              <w:left w:val="nil"/>
              <w:bottom w:val="nil"/>
              <w:right w:val="nil"/>
            </w:tcBorders>
            <w:vAlign w:val="center"/>
          </w:tcPr>
          <w:p w14:paraId="1E79B97E"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-7.3</w:t>
            </w:r>
          </w:p>
        </w:tc>
        <w:tc>
          <w:tcPr>
            <w:tcW w:w="0" w:type="auto"/>
            <w:tcBorders>
              <w:top w:val="nil"/>
              <w:left w:val="nil"/>
              <w:bottom w:val="nil"/>
              <w:right w:val="nil"/>
            </w:tcBorders>
            <w:vAlign w:val="center"/>
          </w:tcPr>
          <w:p w14:paraId="3ECDD51D"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-7.3</w:t>
            </w:r>
          </w:p>
        </w:tc>
        <w:tc>
          <w:tcPr>
            <w:tcW w:w="0" w:type="auto"/>
            <w:tcBorders>
              <w:top w:val="nil"/>
              <w:left w:val="nil"/>
              <w:bottom w:val="nil"/>
              <w:right w:val="nil"/>
            </w:tcBorders>
            <w:vAlign w:val="center"/>
          </w:tcPr>
          <w:p w14:paraId="7975982B"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1000</w:t>
            </w:r>
          </w:p>
        </w:tc>
        <w:tc>
          <w:tcPr>
            <w:tcW w:w="0" w:type="auto"/>
            <w:tcBorders>
              <w:top w:val="nil"/>
              <w:left w:val="nil"/>
              <w:bottom w:val="nil"/>
              <w:right w:val="nil"/>
            </w:tcBorders>
            <w:vAlign w:val="center"/>
          </w:tcPr>
          <w:p w14:paraId="2F5B9345"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37</w:t>
            </w:r>
          </w:p>
        </w:tc>
      </w:tr>
      <w:tr w:rsidR="00635559" w:rsidRPr="007E5190" w14:paraId="1AF117A7" w14:textId="77777777" w:rsidTr="006D072F">
        <w:trPr>
          <w:trHeight w:val="552"/>
          <w:jc w:val="center"/>
        </w:trPr>
        <w:tc>
          <w:tcPr>
            <w:tcW w:w="0" w:type="auto"/>
            <w:tcBorders>
              <w:top w:val="nil"/>
              <w:left w:val="nil"/>
              <w:bottom w:val="single" w:sz="4" w:space="0" w:color="auto"/>
              <w:right w:val="nil"/>
            </w:tcBorders>
            <w:vAlign w:val="center"/>
          </w:tcPr>
          <w:p w14:paraId="5BD5E931"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w:t>
            </w:r>
          </w:p>
        </w:tc>
        <w:tc>
          <w:tcPr>
            <w:tcW w:w="0" w:type="auto"/>
            <w:tcBorders>
              <w:top w:val="nil"/>
              <w:left w:val="nil"/>
              <w:bottom w:val="single" w:sz="4" w:space="0" w:color="auto"/>
              <w:right w:val="nil"/>
            </w:tcBorders>
            <w:vAlign w:val="center"/>
          </w:tcPr>
          <w:p w14:paraId="385FEB78"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Oleanolic Acid</w:t>
            </w:r>
          </w:p>
        </w:tc>
        <w:tc>
          <w:tcPr>
            <w:tcW w:w="0" w:type="auto"/>
            <w:tcBorders>
              <w:top w:val="nil"/>
              <w:left w:val="nil"/>
              <w:bottom w:val="single" w:sz="4" w:space="0" w:color="auto"/>
              <w:right w:val="nil"/>
            </w:tcBorders>
            <w:vAlign w:val="center"/>
          </w:tcPr>
          <w:p w14:paraId="52D93F4C"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44575931</w:t>
            </w:r>
          </w:p>
        </w:tc>
        <w:tc>
          <w:tcPr>
            <w:tcW w:w="0" w:type="auto"/>
            <w:tcBorders>
              <w:top w:val="nil"/>
              <w:left w:val="nil"/>
              <w:bottom w:val="single" w:sz="4" w:space="0" w:color="auto"/>
              <w:right w:val="nil"/>
            </w:tcBorders>
            <w:vAlign w:val="center"/>
          </w:tcPr>
          <w:p w14:paraId="735E253E" w14:textId="77777777" w:rsidR="00561C5A" w:rsidRPr="007E5190" w:rsidRDefault="00561C5A" w:rsidP="00561C5A">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Pubchem</w:t>
            </w:r>
            <w:proofErr w:type="spellEnd"/>
          </w:p>
        </w:tc>
        <w:tc>
          <w:tcPr>
            <w:tcW w:w="0" w:type="auto"/>
            <w:tcBorders>
              <w:top w:val="nil"/>
              <w:left w:val="nil"/>
              <w:bottom w:val="single" w:sz="4" w:space="0" w:color="auto"/>
              <w:right w:val="nil"/>
            </w:tcBorders>
            <w:vAlign w:val="center"/>
          </w:tcPr>
          <w:p w14:paraId="7DC7A52B"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-7.2</w:t>
            </w:r>
          </w:p>
        </w:tc>
        <w:tc>
          <w:tcPr>
            <w:tcW w:w="0" w:type="auto"/>
            <w:tcBorders>
              <w:top w:val="nil"/>
              <w:left w:val="nil"/>
              <w:bottom w:val="single" w:sz="4" w:space="0" w:color="auto"/>
              <w:right w:val="nil"/>
            </w:tcBorders>
            <w:vAlign w:val="center"/>
          </w:tcPr>
          <w:p w14:paraId="6F186751"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-7.2</w:t>
            </w:r>
          </w:p>
        </w:tc>
        <w:tc>
          <w:tcPr>
            <w:tcW w:w="0" w:type="auto"/>
            <w:tcBorders>
              <w:top w:val="nil"/>
              <w:left w:val="nil"/>
              <w:bottom w:val="single" w:sz="4" w:space="0" w:color="auto"/>
              <w:right w:val="nil"/>
            </w:tcBorders>
            <w:vAlign w:val="center"/>
          </w:tcPr>
          <w:p w14:paraId="164082A4"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1000</w:t>
            </w:r>
          </w:p>
        </w:tc>
        <w:tc>
          <w:tcPr>
            <w:tcW w:w="0" w:type="auto"/>
            <w:tcBorders>
              <w:top w:val="nil"/>
              <w:left w:val="nil"/>
              <w:bottom w:val="single" w:sz="4" w:space="0" w:color="auto"/>
              <w:right w:val="nil"/>
            </w:tcBorders>
            <w:vAlign w:val="center"/>
          </w:tcPr>
          <w:p w14:paraId="43E09CED" w14:textId="77777777" w:rsidR="00561C5A" w:rsidRPr="007E5190" w:rsidRDefault="00561C5A" w:rsidP="00561C5A">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28</w:t>
            </w:r>
          </w:p>
        </w:tc>
      </w:tr>
    </w:tbl>
    <w:p w14:paraId="37E51DC7" w14:textId="77777777" w:rsidR="008D38EC" w:rsidRPr="007E5190" w:rsidRDefault="008D38EC" w:rsidP="00D75BEE">
      <w:pPr>
        <w:jc w:val="both"/>
        <w:rPr>
          <w:rFonts w:ascii="Times New Roman" w:hAnsi="Times New Roman" w:cs="Times New Roman"/>
          <w:color w:val="0D0D0D" w:themeColor="text1" w:themeTint="F2"/>
        </w:rPr>
      </w:pPr>
    </w:p>
    <w:p w14:paraId="03E4DFA8" w14:textId="6BB32D17" w:rsidR="006D072F" w:rsidRPr="007E5190" w:rsidRDefault="00794D96" w:rsidP="00DE02D0">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screening successfully identified several novel compounds with binding affinities that surpassed the original lead compounds. The top-scoring candidate from each of the seven analog families is presented in </w:t>
      </w:r>
      <w:r w:rsidR="009C1FBB" w:rsidRPr="007E5190">
        <w:rPr>
          <w:rFonts w:ascii="Times New Roman" w:hAnsi="Times New Roman" w:cs="Times New Roman"/>
          <w:color w:val="4472C4" w:themeColor="accent1"/>
        </w:rPr>
        <w:fldChar w:fldCharType="begin"/>
      </w:r>
      <w:r w:rsidR="009C1FBB" w:rsidRPr="007E5190">
        <w:rPr>
          <w:rFonts w:ascii="Times New Roman" w:hAnsi="Times New Roman" w:cs="Times New Roman"/>
          <w:color w:val="4472C4" w:themeColor="accent1"/>
        </w:rPr>
        <w:instrText xml:space="preserve"> REF _Ref213047924 \h </w:instrText>
      </w:r>
      <w:r w:rsidR="00F25C91" w:rsidRPr="007E5190">
        <w:rPr>
          <w:rFonts w:ascii="Times New Roman" w:hAnsi="Times New Roman" w:cs="Times New Roman"/>
          <w:color w:val="4472C4" w:themeColor="accent1"/>
        </w:rPr>
        <w:instrText xml:space="preserve"> \* MERGEFORMAT </w:instrText>
      </w:r>
      <w:r w:rsidR="009C1FBB" w:rsidRPr="007E5190">
        <w:rPr>
          <w:rFonts w:ascii="Times New Roman" w:hAnsi="Times New Roman" w:cs="Times New Roman"/>
          <w:color w:val="4472C4" w:themeColor="accent1"/>
        </w:rPr>
      </w:r>
      <w:r w:rsidR="009C1FBB" w:rsidRPr="007E5190">
        <w:rPr>
          <w:rFonts w:ascii="Times New Roman" w:hAnsi="Times New Roman" w:cs="Times New Roman"/>
          <w:color w:val="4472C4" w:themeColor="accent1"/>
        </w:rPr>
        <w:fldChar w:fldCharType="separate"/>
      </w:r>
      <w:r w:rsidR="009C1FBB" w:rsidRPr="007E5190">
        <w:rPr>
          <w:rFonts w:ascii="Times New Roman" w:hAnsi="Times New Roman" w:cs="Times New Roman"/>
          <w:color w:val="4472C4" w:themeColor="accent1"/>
        </w:rPr>
        <w:t xml:space="preserve">Table </w:t>
      </w:r>
      <w:r w:rsidR="009C1FBB" w:rsidRPr="007E5190">
        <w:rPr>
          <w:rFonts w:ascii="Times New Roman" w:hAnsi="Times New Roman" w:cs="Times New Roman"/>
          <w:noProof/>
          <w:color w:val="4472C4" w:themeColor="accent1"/>
        </w:rPr>
        <w:t>4</w:t>
      </w:r>
      <w:r w:rsidR="009C1FBB"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xml:space="preserve">. Notably, a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(CID 163053220) was identified as the top-ranking hit with a binding energy of -7.4 kcal/mol. This was followed by a Lupeol analogue (CID 70626379) and a Hederagenin analogue (CID 137633443), which both showed strong affinities of -7.3 kcal/mol. Based on these promising results, these three lead analogues, along with the Oleanolic Acid control, were selected for full biophysical validation.</w:t>
      </w:r>
    </w:p>
    <w:p w14:paraId="0AE3AB3C" w14:textId="7A540230" w:rsidR="00794D96" w:rsidRPr="007E5190" w:rsidRDefault="00794D96" w:rsidP="00DD06FA">
      <w:pPr>
        <w:pStyle w:val="Heading2"/>
        <w:rPr>
          <w:rFonts w:cs="Times New Roman"/>
        </w:rPr>
      </w:pPr>
      <w:r w:rsidRPr="007E5190">
        <w:rPr>
          <w:rFonts w:cs="Times New Roman"/>
        </w:rPr>
        <w:t>Analysis of Predicted Binding Modes</w:t>
      </w:r>
    </w:p>
    <w:p w14:paraId="5B2CDB5C" w14:textId="6A399B4B"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Before advancing the new lead compounds to MD simulation, their static binding poses from </w:t>
      </w:r>
      <w:proofErr w:type="spellStart"/>
      <w:r w:rsidRPr="007E5190">
        <w:rPr>
          <w:rFonts w:ascii="Times New Roman" w:hAnsi="Times New Roman" w:cs="Times New Roman"/>
          <w:color w:val="0D0D0D" w:themeColor="text1" w:themeTint="F2"/>
        </w:rPr>
        <w:t>AutoDock</w:t>
      </w:r>
      <w:proofErr w:type="spellEnd"/>
      <w:r w:rsidRPr="007E5190">
        <w:rPr>
          <w:rFonts w:ascii="Times New Roman" w:hAnsi="Times New Roman" w:cs="Times New Roman"/>
          <w:color w:val="0D0D0D" w:themeColor="text1" w:themeTint="F2"/>
        </w:rPr>
        <w:t xml:space="preserve"> Vina were analyzed to confirm their binding mode and elucidate their predicted interaction networks. The representative poses for all three analogues were visualized and found to bind securely within the same high-affinity pocket as the Oleanolic Acid control. The specific </w:t>
      </w:r>
      <w:r w:rsidRPr="007E5190">
        <w:rPr>
          <w:rFonts w:ascii="Times New Roman" w:hAnsi="Times New Roman" w:cs="Times New Roman"/>
          <w:color w:val="0D0D0D" w:themeColor="text1" w:themeTint="F2"/>
        </w:rPr>
        <w:lastRenderedPageBreak/>
        <w:t>interactions were detailed using PLIP</w:t>
      </w:r>
      <w:r w:rsidR="00F84DFD" w:rsidRPr="007E5190">
        <w:rPr>
          <w:rFonts w:ascii="Times New Roman" w:hAnsi="Times New Roman" w:cs="Times New Roman"/>
          <w:color w:val="0D0D0D" w:themeColor="text1" w:themeTint="F2"/>
        </w:rPr>
        <w:t>. These static interaction networks are visualized in</w:t>
      </w:r>
      <w:r w:rsidR="007A12BF" w:rsidRPr="007E5190">
        <w:rPr>
          <w:rFonts w:ascii="Times New Roman" w:hAnsi="Times New Roman" w:cs="Times New Roman"/>
          <w:b/>
          <w:bCs/>
          <w:color w:val="0D0D0D" w:themeColor="text1" w:themeTint="F2"/>
        </w:rPr>
        <w:fldChar w:fldCharType="begin"/>
      </w:r>
      <w:r w:rsidR="007A12BF" w:rsidRPr="007E5190">
        <w:rPr>
          <w:rFonts w:ascii="Times New Roman" w:hAnsi="Times New Roman" w:cs="Times New Roman"/>
          <w:color w:val="0D0D0D" w:themeColor="text1" w:themeTint="F2"/>
        </w:rPr>
        <w:instrText xml:space="preserve"> REF _Ref213060860 \h </w:instrText>
      </w:r>
      <w:r w:rsidR="00EF7F63" w:rsidRPr="007E5190">
        <w:rPr>
          <w:rFonts w:ascii="Times New Roman" w:hAnsi="Times New Roman" w:cs="Times New Roman"/>
          <w:b/>
          <w:bCs/>
          <w:color w:val="0D0D0D" w:themeColor="text1" w:themeTint="F2"/>
        </w:rPr>
        <w:instrText xml:space="preserve"> \* MERGEFORMAT </w:instrText>
      </w:r>
      <w:r w:rsidR="007A12BF" w:rsidRPr="007E5190">
        <w:rPr>
          <w:rFonts w:ascii="Times New Roman" w:hAnsi="Times New Roman" w:cs="Times New Roman"/>
          <w:b/>
          <w:bCs/>
          <w:color w:val="0D0D0D" w:themeColor="text1" w:themeTint="F2"/>
        </w:rPr>
      </w:r>
      <w:r w:rsidR="007A12BF" w:rsidRPr="007E5190">
        <w:rPr>
          <w:rFonts w:ascii="Times New Roman" w:hAnsi="Times New Roman" w:cs="Times New Roman"/>
          <w:b/>
          <w:bCs/>
          <w:color w:val="0D0D0D" w:themeColor="text1" w:themeTint="F2"/>
        </w:rPr>
        <w:fldChar w:fldCharType="separate"/>
      </w:r>
      <w:r w:rsidR="007A12BF" w:rsidRPr="007E5190">
        <w:rPr>
          <w:rFonts w:ascii="Times New Roman" w:hAnsi="Times New Roman" w:cs="Times New Roman"/>
          <w:szCs w:val="22"/>
        </w:rPr>
        <w:t xml:space="preserve"> </w:t>
      </w:r>
      <w:r w:rsidR="007A12BF" w:rsidRPr="007E5190">
        <w:rPr>
          <w:rFonts w:ascii="Times New Roman" w:hAnsi="Times New Roman" w:cs="Times New Roman"/>
          <w:b/>
          <w:bCs/>
          <w:color w:val="0D0D0D" w:themeColor="text1" w:themeTint="F2"/>
        </w:rPr>
        <w:fldChar w:fldCharType="end"/>
      </w:r>
      <w:r w:rsidR="007A12BF" w:rsidRPr="007E5190">
        <w:rPr>
          <w:rFonts w:ascii="Times New Roman" w:hAnsi="Times New Roman" w:cs="Times New Roman"/>
          <w:b/>
          <w:bCs/>
          <w:color w:val="4472C4" w:themeColor="accent1"/>
        </w:rPr>
        <w:fldChar w:fldCharType="begin"/>
      </w:r>
      <w:r w:rsidR="007A12BF" w:rsidRPr="007E5190">
        <w:rPr>
          <w:rFonts w:ascii="Times New Roman" w:hAnsi="Times New Roman" w:cs="Times New Roman"/>
          <w:b/>
          <w:bCs/>
          <w:color w:val="4472C4" w:themeColor="accent1"/>
        </w:rPr>
        <w:instrText xml:space="preserve"> REF _Ref213060864 \h </w:instrText>
      </w:r>
      <w:r w:rsidR="00EF7F63" w:rsidRPr="007E5190">
        <w:rPr>
          <w:rFonts w:ascii="Times New Roman" w:hAnsi="Times New Roman" w:cs="Times New Roman"/>
          <w:b/>
          <w:bCs/>
          <w:color w:val="4472C4" w:themeColor="accent1"/>
        </w:rPr>
        <w:instrText xml:space="preserve"> \* MERGEFORMAT </w:instrText>
      </w:r>
      <w:r w:rsidR="007A12BF" w:rsidRPr="007E5190">
        <w:rPr>
          <w:rFonts w:ascii="Times New Roman" w:hAnsi="Times New Roman" w:cs="Times New Roman"/>
          <w:b/>
          <w:bCs/>
          <w:color w:val="4472C4" w:themeColor="accent1"/>
        </w:rPr>
      </w:r>
      <w:r w:rsidR="007A12BF" w:rsidRPr="007E5190">
        <w:rPr>
          <w:rFonts w:ascii="Times New Roman" w:hAnsi="Times New Roman" w:cs="Times New Roman"/>
          <w:b/>
          <w:bCs/>
          <w:color w:val="4472C4" w:themeColor="accent1"/>
        </w:rPr>
        <w:fldChar w:fldCharType="separate"/>
      </w:r>
      <w:r w:rsidR="007A12BF" w:rsidRPr="007E5190">
        <w:rPr>
          <w:rFonts w:ascii="Times New Roman" w:hAnsi="Times New Roman" w:cs="Times New Roman"/>
          <w:color w:val="4472C4" w:themeColor="accent1"/>
        </w:rPr>
        <w:t xml:space="preserve">Figure </w:t>
      </w:r>
      <w:r w:rsidR="008420C4" w:rsidRPr="007E5190">
        <w:rPr>
          <w:rFonts w:ascii="Times New Roman" w:hAnsi="Times New Roman" w:cs="Times New Roman"/>
          <w:color w:val="4472C4" w:themeColor="accent1"/>
        </w:rPr>
        <w:t>3</w:t>
      </w:r>
      <w:r w:rsidR="007A12BF" w:rsidRPr="007E5190">
        <w:rPr>
          <w:rFonts w:ascii="Times New Roman" w:hAnsi="Times New Roman" w:cs="Times New Roman"/>
          <w:b/>
          <w:bCs/>
          <w:color w:val="4472C4" w:themeColor="accent1"/>
        </w:rPr>
        <w:fldChar w:fldCharType="end"/>
      </w:r>
      <w:r w:rsidR="002173C0" w:rsidRPr="007E5190">
        <w:rPr>
          <w:rFonts w:ascii="Times New Roman" w:hAnsi="Times New Roman" w:cs="Times New Roman"/>
          <w:b/>
          <w:bCs/>
          <w:color w:val="4472C4" w:themeColor="accent1"/>
        </w:rPr>
        <w:t xml:space="preserve"> </w:t>
      </w:r>
      <w:r w:rsidR="00F84DFD" w:rsidRPr="007E5190">
        <w:rPr>
          <w:rFonts w:ascii="Times New Roman" w:hAnsi="Times New Roman" w:cs="Times New Roman"/>
          <w:color w:val="0D0D0D" w:themeColor="text1" w:themeTint="F2"/>
        </w:rPr>
        <w:t xml:space="preserve">and summarized in detail in </w:t>
      </w:r>
      <w:r w:rsidR="007A12BF" w:rsidRPr="007E5190">
        <w:rPr>
          <w:rFonts w:ascii="Times New Roman" w:hAnsi="Times New Roman" w:cs="Times New Roman"/>
          <w:b/>
          <w:bCs/>
          <w:color w:val="4472C4" w:themeColor="accent1"/>
        </w:rPr>
        <w:fldChar w:fldCharType="begin"/>
      </w:r>
      <w:r w:rsidR="007A12BF" w:rsidRPr="007E5190">
        <w:rPr>
          <w:rFonts w:ascii="Times New Roman" w:hAnsi="Times New Roman" w:cs="Times New Roman"/>
          <w:color w:val="4472C4" w:themeColor="accent1"/>
        </w:rPr>
        <w:instrText xml:space="preserve"> REF _Ref213060920 \h </w:instrText>
      </w:r>
      <w:r w:rsidR="00EF7F63" w:rsidRPr="007E5190">
        <w:rPr>
          <w:rFonts w:ascii="Times New Roman" w:hAnsi="Times New Roman" w:cs="Times New Roman"/>
          <w:b/>
          <w:bCs/>
          <w:color w:val="4472C4" w:themeColor="accent1"/>
        </w:rPr>
        <w:instrText xml:space="preserve"> \* MERGEFORMAT </w:instrText>
      </w:r>
      <w:r w:rsidR="007A12BF" w:rsidRPr="007E5190">
        <w:rPr>
          <w:rFonts w:ascii="Times New Roman" w:hAnsi="Times New Roman" w:cs="Times New Roman"/>
          <w:b/>
          <w:bCs/>
          <w:color w:val="4472C4" w:themeColor="accent1"/>
        </w:rPr>
      </w:r>
      <w:r w:rsidR="007A12BF" w:rsidRPr="007E5190">
        <w:rPr>
          <w:rFonts w:ascii="Times New Roman" w:hAnsi="Times New Roman" w:cs="Times New Roman"/>
          <w:b/>
          <w:bCs/>
          <w:color w:val="4472C4" w:themeColor="accent1"/>
        </w:rPr>
        <w:fldChar w:fldCharType="separate"/>
      </w:r>
      <w:r w:rsidR="007A12BF" w:rsidRPr="007E5190">
        <w:rPr>
          <w:rFonts w:ascii="Times New Roman" w:hAnsi="Times New Roman" w:cs="Times New Roman"/>
          <w:color w:val="4472C4" w:themeColor="accent1"/>
        </w:rPr>
        <w:t xml:space="preserve">Table </w:t>
      </w:r>
      <w:r w:rsidR="007A12BF" w:rsidRPr="007E5190">
        <w:rPr>
          <w:rFonts w:ascii="Times New Roman" w:hAnsi="Times New Roman" w:cs="Times New Roman"/>
          <w:noProof/>
          <w:color w:val="4472C4" w:themeColor="accent1"/>
        </w:rPr>
        <w:t>5</w:t>
      </w:r>
      <w:r w:rsidR="007A12BF" w:rsidRPr="007E5190">
        <w:rPr>
          <w:rFonts w:ascii="Times New Roman" w:hAnsi="Times New Roman" w:cs="Times New Roman"/>
          <w:b/>
          <w:bCs/>
          <w:color w:val="4472C4" w:themeColor="accent1"/>
        </w:rPr>
        <w:fldChar w:fldCharType="end"/>
      </w:r>
      <w:r w:rsidR="007A39A6" w:rsidRPr="007E5190">
        <w:rPr>
          <w:rFonts w:ascii="Times New Roman" w:hAnsi="Times New Roman" w:cs="Times New Roman"/>
          <w:b/>
          <w:bCs/>
          <w:color w:val="0D0D0D" w:themeColor="text1" w:themeTint="F2"/>
        </w:rPr>
        <w:t>:</w:t>
      </w:r>
    </w:p>
    <w:p w14:paraId="62E84BF6" w14:textId="77777777" w:rsidR="00794D96" w:rsidRPr="007E5190" w:rsidRDefault="00794D96" w:rsidP="00D75BEE">
      <w:pPr>
        <w:numPr>
          <w:ilvl w:val="0"/>
          <w:numId w:val="1"/>
        </w:numPr>
        <w:jc w:val="both"/>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The top-scoring pose (-7.4 kcal/mol) was stabilized by a robust network of interactions. Key interactions included three hydrogen bonds with Gln40, Gln95, and Tyr96, as well as a hydrophobic contact with Glu92.</w:t>
      </w:r>
    </w:p>
    <w:p w14:paraId="04B6F9A8" w14:textId="38BBA219" w:rsidR="00794D96" w:rsidRPr="007E5190" w:rsidRDefault="00DB6AAB" w:rsidP="00D75BEE">
      <w:pPr>
        <w:numPr>
          <w:ilvl w:val="0"/>
          <w:numId w:val="1"/>
        </w:num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 </w:t>
      </w:r>
      <w:r w:rsidR="00794D96" w:rsidRPr="007E5190">
        <w:rPr>
          <w:rFonts w:ascii="Times New Roman" w:hAnsi="Times New Roman" w:cs="Times New Roman"/>
          <w:color w:val="0D0D0D" w:themeColor="text1" w:themeTint="F2"/>
        </w:rPr>
        <w:t>Hederagenin Analogue: This analogue (-7.3 kcal/mol) also showed a strong interaction profile, forming a network of four key hydrogen bonds with Thr150, Asn195, Gln240, and Thr263.</w:t>
      </w:r>
    </w:p>
    <w:p w14:paraId="7A945AF9" w14:textId="77777777" w:rsidR="00794D96" w:rsidRPr="007E5190" w:rsidRDefault="00794D96" w:rsidP="00D75BEE">
      <w:pPr>
        <w:numPr>
          <w:ilvl w:val="0"/>
          <w:numId w:val="1"/>
        </w:num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Lupeol Analogue: This pose (-7.3 kcal/mol) was primarily stabilized by hydrophobic contacts with residues such as Asn195, Tyr241, and Thr263.</w:t>
      </w:r>
    </w:p>
    <w:p w14:paraId="6E3EACC9" w14:textId="486EF587" w:rsidR="00BB6776" w:rsidRPr="007E5190" w:rsidRDefault="00794D96" w:rsidP="001374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This analysis confirmed that all three lead analogues achieved their high affinity by forming strong, specific interactions within the target binding site, justifying their advancement to further validation.</w:t>
      </w:r>
      <w:bookmarkStart w:id="6" w:name="_Ref213060920"/>
    </w:p>
    <w:p w14:paraId="33E00DE8" w14:textId="0EEE7D04" w:rsidR="00B11033" w:rsidRPr="007E5190" w:rsidRDefault="00B11033" w:rsidP="00B11033">
      <w:pPr>
        <w:pStyle w:val="Caption"/>
        <w:keepNext/>
        <w:rPr>
          <w:rFonts w:ascii="Times New Roman" w:hAnsi="Times New Roman" w:cs="Times New Roman"/>
          <w:color w:val="0D0D0D" w:themeColor="text1" w:themeTint="F2"/>
          <w:sz w:val="24"/>
          <w:szCs w:val="24"/>
        </w:rPr>
      </w:pPr>
      <w:bookmarkStart w:id="7" w:name="_Ref214595091"/>
      <w:r w:rsidRPr="007E5190">
        <w:rPr>
          <w:rFonts w:ascii="Times New Roman" w:hAnsi="Times New Roman" w:cs="Times New Roman"/>
          <w:color w:val="0D0D0D" w:themeColor="text1" w:themeTint="F2"/>
          <w:sz w:val="24"/>
          <w:szCs w:val="24"/>
        </w:rPr>
        <w:t xml:space="preserve">Table </w:t>
      </w:r>
      <w:r w:rsidRPr="007E5190">
        <w:rPr>
          <w:rFonts w:ascii="Times New Roman" w:hAnsi="Times New Roman" w:cs="Times New Roman"/>
          <w:color w:val="0D0D0D" w:themeColor="text1" w:themeTint="F2"/>
          <w:sz w:val="24"/>
          <w:szCs w:val="24"/>
        </w:rPr>
        <w:fldChar w:fldCharType="begin"/>
      </w:r>
      <w:r w:rsidRPr="007E5190">
        <w:rPr>
          <w:rFonts w:ascii="Times New Roman" w:hAnsi="Times New Roman" w:cs="Times New Roman"/>
          <w:color w:val="0D0D0D" w:themeColor="text1" w:themeTint="F2"/>
          <w:sz w:val="24"/>
          <w:szCs w:val="24"/>
        </w:rPr>
        <w:instrText xml:space="preserve"> SEQ Table \* ARABIC </w:instrText>
      </w:r>
      <w:r w:rsidRPr="007E5190">
        <w:rPr>
          <w:rFonts w:ascii="Times New Roman" w:hAnsi="Times New Roman" w:cs="Times New Roman"/>
          <w:color w:val="0D0D0D" w:themeColor="text1" w:themeTint="F2"/>
          <w:sz w:val="24"/>
          <w:szCs w:val="24"/>
        </w:rPr>
        <w:fldChar w:fldCharType="separate"/>
      </w:r>
      <w:r w:rsidR="002E56DD" w:rsidRPr="007E5190">
        <w:rPr>
          <w:rFonts w:ascii="Times New Roman" w:hAnsi="Times New Roman" w:cs="Times New Roman"/>
          <w:noProof/>
          <w:color w:val="0D0D0D" w:themeColor="text1" w:themeTint="F2"/>
          <w:sz w:val="24"/>
          <w:szCs w:val="24"/>
        </w:rPr>
        <w:t>5</w:t>
      </w:r>
      <w:r w:rsidRPr="007E5190">
        <w:rPr>
          <w:rFonts w:ascii="Times New Roman" w:hAnsi="Times New Roman" w:cs="Times New Roman"/>
          <w:color w:val="0D0D0D" w:themeColor="text1" w:themeTint="F2"/>
          <w:sz w:val="24"/>
          <w:szCs w:val="24"/>
        </w:rPr>
        <w:fldChar w:fldCharType="end"/>
      </w:r>
      <w:bookmarkEnd w:id="6"/>
      <w:bookmarkEnd w:id="7"/>
      <w:r w:rsidRPr="007E5190">
        <w:rPr>
          <w:rFonts w:ascii="Times New Roman" w:hAnsi="Times New Roman" w:cs="Times New Roman"/>
          <w:color w:val="0D0D0D" w:themeColor="text1" w:themeTint="F2"/>
          <w:sz w:val="24"/>
          <w:szCs w:val="24"/>
        </w:rPr>
        <w:t>. Summary of Key Intermolecular Interactions from Static Docking Poses (PLIP Analysis).</w:t>
      </w: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8"/>
        <w:gridCol w:w="1084"/>
        <w:gridCol w:w="1348"/>
        <w:gridCol w:w="1445"/>
        <w:gridCol w:w="992"/>
        <w:gridCol w:w="268"/>
        <w:gridCol w:w="1170"/>
        <w:gridCol w:w="812"/>
        <w:gridCol w:w="713"/>
      </w:tblGrid>
      <w:tr w:rsidR="001374EE" w:rsidRPr="007E5190" w14:paraId="56026845" w14:textId="77777777" w:rsidTr="001374EE">
        <w:trPr>
          <w:trHeight w:val="432"/>
          <w:tblHeader/>
        </w:trPr>
        <w:tc>
          <w:tcPr>
            <w:tcW w:w="816" w:type="pct"/>
            <w:vMerge w:val="restart"/>
            <w:tcBorders>
              <w:top w:val="single" w:sz="4" w:space="0" w:color="auto"/>
              <w:bottom w:val="single" w:sz="4" w:space="0" w:color="auto"/>
            </w:tcBorders>
            <w:noWrap/>
            <w:vAlign w:val="center"/>
            <w:hideMark/>
          </w:tcPr>
          <w:p w14:paraId="0DC43054"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r w:rsidRPr="007E5190">
              <w:rPr>
                <w:rFonts w:ascii="Times New Roman" w:eastAsia="Times New Roman" w:hAnsi="Times New Roman" w:cs="Times New Roman"/>
                <w:b/>
                <w:bCs/>
                <w:color w:val="000000"/>
                <w:kern w:val="0"/>
                <w:sz w:val="22"/>
                <w:szCs w:val="22"/>
                <w14:ligatures w14:val="none"/>
              </w:rPr>
              <w:t>Compounds</w:t>
            </w:r>
          </w:p>
        </w:tc>
        <w:tc>
          <w:tcPr>
            <w:tcW w:w="2601" w:type="pct"/>
            <w:gridSpan w:val="4"/>
            <w:tcBorders>
              <w:top w:val="single" w:sz="4" w:space="0" w:color="auto"/>
              <w:bottom w:val="single" w:sz="4" w:space="0" w:color="auto"/>
            </w:tcBorders>
            <w:noWrap/>
            <w:vAlign w:val="center"/>
            <w:hideMark/>
          </w:tcPr>
          <w:p w14:paraId="3A7EB220"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r w:rsidRPr="007E5190">
              <w:rPr>
                <w:rFonts w:ascii="Times New Roman" w:eastAsia="Times New Roman" w:hAnsi="Times New Roman" w:cs="Times New Roman"/>
                <w:b/>
                <w:bCs/>
                <w:color w:val="000000"/>
                <w:kern w:val="0"/>
                <w:sz w:val="22"/>
                <w:szCs w:val="22"/>
                <w14:ligatures w14:val="none"/>
              </w:rPr>
              <w:t>Hydrophobic Interactions</w:t>
            </w:r>
          </w:p>
        </w:tc>
        <w:tc>
          <w:tcPr>
            <w:tcW w:w="143" w:type="pct"/>
            <w:tcBorders>
              <w:top w:val="single" w:sz="4" w:space="0" w:color="auto"/>
              <w:bottom w:val="nil"/>
            </w:tcBorders>
            <w:vAlign w:val="center"/>
          </w:tcPr>
          <w:p w14:paraId="29844487"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p>
        </w:tc>
        <w:tc>
          <w:tcPr>
            <w:tcW w:w="1440" w:type="pct"/>
            <w:gridSpan w:val="3"/>
            <w:tcBorders>
              <w:top w:val="single" w:sz="4" w:space="0" w:color="auto"/>
              <w:bottom w:val="single" w:sz="4" w:space="0" w:color="auto"/>
            </w:tcBorders>
            <w:noWrap/>
            <w:vAlign w:val="center"/>
            <w:hideMark/>
          </w:tcPr>
          <w:p w14:paraId="5245ACC8" w14:textId="77777777" w:rsidR="001B05F5" w:rsidRPr="007E5190" w:rsidRDefault="001B05F5" w:rsidP="001374EE">
            <w:pPr>
              <w:jc w:val="center"/>
              <w:rPr>
                <w:rFonts w:ascii="Times New Roman" w:eastAsia="Times New Roman" w:hAnsi="Times New Roman" w:cs="Times New Roman"/>
                <w:b/>
                <w:bCs/>
                <w:kern w:val="0"/>
                <w:sz w:val="20"/>
                <w:szCs w:val="20"/>
                <w14:ligatures w14:val="none"/>
              </w:rPr>
            </w:pPr>
            <w:r w:rsidRPr="007E5190">
              <w:rPr>
                <w:rFonts w:ascii="Times New Roman" w:eastAsia="Times New Roman" w:hAnsi="Times New Roman" w:cs="Times New Roman"/>
                <w:b/>
                <w:bCs/>
                <w:color w:val="000000"/>
                <w:kern w:val="0"/>
                <w:sz w:val="22"/>
                <w:szCs w:val="22"/>
                <w14:ligatures w14:val="none"/>
              </w:rPr>
              <w:t>Hydrogen Bonds</w:t>
            </w:r>
          </w:p>
        </w:tc>
      </w:tr>
      <w:tr w:rsidR="001374EE" w:rsidRPr="007E5190" w14:paraId="40E9D43B" w14:textId="77777777" w:rsidTr="001374EE">
        <w:trPr>
          <w:trHeight w:val="432"/>
          <w:tblHeader/>
        </w:trPr>
        <w:tc>
          <w:tcPr>
            <w:tcW w:w="816" w:type="pct"/>
            <w:vMerge/>
            <w:tcBorders>
              <w:top w:val="single" w:sz="4" w:space="0" w:color="auto"/>
              <w:bottom w:val="single" w:sz="4" w:space="0" w:color="auto"/>
            </w:tcBorders>
            <w:noWrap/>
            <w:vAlign w:val="center"/>
            <w:hideMark/>
          </w:tcPr>
          <w:p w14:paraId="35670352" w14:textId="77777777" w:rsidR="001B05F5" w:rsidRPr="007E5190" w:rsidRDefault="001B05F5" w:rsidP="001374EE">
            <w:pPr>
              <w:jc w:val="center"/>
              <w:rPr>
                <w:rFonts w:ascii="Times New Roman" w:eastAsia="Times New Roman" w:hAnsi="Times New Roman" w:cs="Times New Roman"/>
                <w:b/>
                <w:bCs/>
                <w:kern w:val="0"/>
                <w:sz w:val="20"/>
                <w:szCs w:val="20"/>
                <w14:ligatures w14:val="none"/>
              </w:rPr>
            </w:pPr>
          </w:p>
        </w:tc>
        <w:tc>
          <w:tcPr>
            <w:tcW w:w="579" w:type="pct"/>
            <w:vMerge w:val="restart"/>
            <w:tcBorders>
              <w:top w:val="single" w:sz="4" w:space="0" w:color="auto"/>
              <w:bottom w:val="single" w:sz="4" w:space="0" w:color="auto"/>
            </w:tcBorders>
            <w:noWrap/>
            <w:vAlign w:val="center"/>
            <w:hideMark/>
          </w:tcPr>
          <w:p w14:paraId="4BF73BFA"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r w:rsidRPr="007E5190">
              <w:rPr>
                <w:rFonts w:ascii="Times New Roman" w:eastAsia="Times New Roman" w:hAnsi="Times New Roman" w:cs="Times New Roman"/>
                <w:b/>
                <w:bCs/>
                <w:color w:val="000000"/>
                <w:kern w:val="0"/>
                <w:sz w:val="22"/>
                <w:szCs w:val="22"/>
                <w14:ligatures w14:val="none"/>
              </w:rPr>
              <w:t>Residue</w:t>
            </w:r>
          </w:p>
        </w:tc>
        <w:tc>
          <w:tcPr>
            <w:tcW w:w="720" w:type="pct"/>
            <w:vMerge w:val="restart"/>
            <w:tcBorders>
              <w:top w:val="single" w:sz="4" w:space="0" w:color="auto"/>
              <w:bottom w:val="single" w:sz="4" w:space="0" w:color="auto"/>
            </w:tcBorders>
            <w:noWrap/>
            <w:vAlign w:val="center"/>
            <w:hideMark/>
          </w:tcPr>
          <w:p w14:paraId="66C4C1D5"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r w:rsidRPr="007E5190">
              <w:rPr>
                <w:rFonts w:ascii="Times New Roman" w:eastAsia="Times New Roman" w:hAnsi="Times New Roman" w:cs="Times New Roman"/>
                <w:b/>
                <w:bCs/>
                <w:color w:val="000000"/>
                <w:kern w:val="0"/>
                <w:sz w:val="22"/>
                <w:szCs w:val="22"/>
                <w14:ligatures w14:val="none"/>
              </w:rPr>
              <w:t>Distance (Å)</w:t>
            </w:r>
          </w:p>
        </w:tc>
        <w:tc>
          <w:tcPr>
            <w:tcW w:w="772" w:type="pct"/>
            <w:vMerge w:val="restart"/>
            <w:tcBorders>
              <w:top w:val="single" w:sz="4" w:space="0" w:color="auto"/>
              <w:bottom w:val="single" w:sz="4" w:space="0" w:color="auto"/>
            </w:tcBorders>
            <w:noWrap/>
            <w:vAlign w:val="center"/>
            <w:hideMark/>
          </w:tcPr>
          <w:p w14:paraId="254CE451"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r w:rsidRPr="007E5190">
              <w:rPr>
                <w:rFonts w:ascii="Times New Roman" w:eastAsia="Times New Roman" w:hAnsi="Times New Roman" w:cs="Times New Roman"/>
                <w:b/>
                <w:bCs/>
                <w:color w:val="000000"/>
                <w:kern w:val="0"/>
                <w:sz w:val="22"/>
                <w:szCs w:val="22"/>
                <w14:ligatures w14:val="none"/>
              </w:rPr>
              <w:t>Ligand Atom</w:t>
            </w:r>
          </w:p>
        </w:tc>
        <w:tc>
          <w:tcPr>
            <w:tcW w:w="530" w:type="pct"/>
            <w:vMerge w:val="restart"/>
            <w:tcBorders>
              <w:top w:val="single" w:sz="4" w:space="0" w:color="auto"/>
              <w:bottom w:val="single" w:sz="4" w:space="0" w:color="auto"/>
            </w:tcBorders>
            <w:noWrap/>
            <w:vAlign w:val="center"/>
            <w:hideMark/>
          </w:tcPr>
          <w:p w14:paraId="11DFCC66"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r w:rsidRPr="007E5190">
              <w:rPr>
                <w:rFonts w:ascii="Times New Roman" w:eastAsia="Times New Roman" w:hAnsi="Times New Roman" w:cs="Times New Roman"/>
                <w:b/>
                <w:bCs/>
                <w:color w:val="000000"/>
                <w:kern w:val="0"/>
                <w:sz w:val="22"/>
                <w:szCs w:val="22"/>
                <w14:ligatures w14:val="none"/>
              </w:rPr>
              <w:t>Protein Atom</w:t>
            </w:r>
          </w:p>
        </w:tc>
        <w:tc>
          <w:tcPr>
            <w:tcW w:w="143" w:type="pct"/>
            <w:vMerge w:val="restart"/>
            <w:tcBorders>
              <w:top w:val="nil"/>
              <w:bottom w:val="single" w:sz="4" w:space="0" w:color="auto"/>
            </w:tcBorders>
            <w:vAlign w:val="center"/>
          </w:tcPr>
          <w:p w14:paraId="51B117C8"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p>
        </w:tc>
        <w:tc>
          <w:tcPr>
            <w:tcW w:w="625" w:type="pct"/>
            <w:vMerge w:val="restart"/>
            <w:tcBorders>
              <w:top w:val="single" w:sz="4" w:space="0" w:color="auto"/>
              <w:bottom w:val="single" w:sz="4" w:space="0" w:color="auto"/>
            </w:tcBorders>
            <w:noWrap/>
            <w:vAlign w:val="center"/>
            <w:hideMark/>
          </w:tcPr>
          <w:p w14:paraId="11EA2C60"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r w:rsidRPr="007E5190">
              <w:rPr>
                <w:rFonts w:ascii="Times New Roman" w:eastAsia="Times New Roman" w:hAnsi="Times New Roman" w:cs="Times New Roman"/>
                <w:b/>
                <w:bCs/>
                <w:color w:val="000000"/>
                <w:kern w:val="0"/>
                <w:sz w:val="22"/>
                <w:szCs w:val="22"/>
                <w14:ligatures w14:val="none"/>
              </w:rPr>
              <w:t>Residue</w:t>
            </w:r>
          </w:p>
        </w:tc>
        <w:tc>
          <w:tcPr>
            <w:tcW w:w="815" w:type="pct"/>
            <w:gridSpan w:val="2"/>
            <w:tcBorders>
              <w:top w:val="single" w:sz="4" w:space="0" w:color="auto"/>
              <w:bottom w:val="single" w:sz="4" w:space="0" w:color="auto"/>
            </w:tcBorders>
            <w:noWrap/>
            <w:vAlign w:val="center"/>
            <w:hideMark/>
          </w:tcPr>
          <w:p w14:paraId="5FB514BF"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r w:rsidRPr="007E5190">
              <w:rPr>
                <w:rFonts w:ascii="Times New Roman" w:eastAsia="Times New Roman" w:hAnsi="Times New Roman" w:cs="Times New Roman"/>
                <w:b/>
                <w:bCs/>
                <w:color w:val="000000"/>
                <w:kern w:val="0"/>
                <w:sz w:val="22"/>
                <w:szCs w:val="22"/>
                <w14:ligatures w14:val="none"/>
              </w:rPr>
              <w:t>Distance (Å)</w:t>
            </w:r>
          </w:p>
        </w:tc>
      </w:tr>
      <w:tr w:rsidR="001374EE" w:rsidRPr="007E5190" w14:paraId="293872AB" w14:textId="77777777" w:rsidTr="001374EE">
        <w:trPr>
          <w:trHeight w:val="432"/>
          <w:tblHeader/>
        </w:trPr>
        <w:tc>
          <w:tcPr>
            <w:tcW w:w="816" w:type="pct"/>
            <w:vMerge/>
            <w:tcBorders>
              <w:top w:val="single" w:sz="4" w:space="0" w:color="auto"/>
              <w:bottom w:val="single" w:sz="4" w:space="0" w:color="auto"/>
            </w:tcBorders>
            <w:noWrap/>
            <w:vAlign w:val="center"/>
            <w:hideMark/>
          </w:tcPr>
          <w:p w14:paraId="657FA40A"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p>
        </w:tc>
        <w:tc>
          <w:tcPr>
            <w:tcW w:w="579" w:type="pct"/>
            <w:vMerge/>
            <w:tcBorders>
              <w:top w:val="single" w:sz="4" w:space="0" w:color="auto"/>
              <w:bottom w:val="single" w:sz="4" w:space="0" w:color="auto"/>
            </w:tcBorders>
            <w:noWrap/>
            <w:vAlign w:val="center"/>
            <w:hideMark/>
          </w:tcPr>
          <w:p w14:paraId="6CC4EDD8" w14:textId="77777777" w:rsidR="001B05F5" w:rsidRPr="007E5190" w:rsidRDefault="001B05F5" w:rsidP="001374EE">
            <w:pPr>
              <w:jc w:val="center"/>
              <w:rPr>
                <w:rFonts w:ascii="Times New Roman" w:eastAsia="Times New Roman" w:hAnsi="Times New Roman" w:cs="Times New Roman"/>
                <w:b/>
                <w:bCs/>
                <w:kern w:val="0"/>
                <w:sz w:val="20"/>
                <w:szCs w:val="20"/>
                <w14:ligatures w14:val="none"/>
              </w:rPr>
            </w:pPr>
          </w:p>
        </w:tc>
        <w:tc>
          <w:tcPr>
            <w:tcW w:w="720" w:type="pct"/>
            <w:vMerge/>
            <w:tcBorders>
              <w:top w:val="single" w:sz="4" w:space="0" w:color="auto"/>
              <w:bottom w:val="single" w:sz="4" w:space="0" w:color="auto"/>
            </w:tcBorders>
            <w:noWrap/>
            <w:vAlign w:val="center"/>
            <w:hideMark/>
          </w:tcPr>
          <w:p w14:paraId="59E56BFB" w14:textId="77777777" w:rsidR="001B05F5" w:rsidRPr="007E5190" w:rsidRDefault="001B05F5" w:rsidP="001374EE">
            <w:pPr>
              <w:jc w:val="center"/>
              <w:rPr>
                <w:rFonts w:ascii="Times New Roman" w:eastAsia="Times New Roman" w:hAnsi="Times New Roman" w:cs="Times New Roman"/>
                <w:b/>
                <w:bCs/>
                <w:kern w:val="0"/>
                <w:sz w:val="20"/>
                <w:szCs w:val="20"/>
                <w14:ligatures w14:val="none"/>
              </w:rPr>
            </w:pPr>
          </w:p>
        </w:tc>
        <w:tc>
          <w:tcPr>
            <w:tcW w:w="772" w:type="pct"/>
            <w:vMerge/>
            <w:tcBorders>
              <w:top w:val="single" w:sz="4" w:space="0" w:color="auto"/>
              <w:bottom w:val="single" w:sz="4" w:space="0" w:color="auto"/>
            </w:tcBorders>
            <w:noWrap/>
            <w:vAlign w:val="center"/>
            <w:hideMark/>
          </w:tcPr>
          <w:p w14:paraId="516C6768" w14:textId="77777777" w:rsidR="001B05F5" w:rsidRPr="007E5190" w:rsidRDefault="001B05F5" w:rsidP="001374EE">
            <w:pPr>
              <w:jc w:val="center"/>
              <w:rPr>
                <w:rFonts w:ascii="Times New Roman" w:eastAsia="Times New Roman" w:hAnsi="Times New Roman" w:cs="Times New Roman"/>
                <w:b/>
                <w:bCs/>
                <w:kern w:val="0"/>
                <w:sz w:val="20"/>
                <w:szCs w:val="20"/>
                <w14:ligatures w14:val="none"/>
              </w:rPr>
            </w:pPr>
          </w:p>
        </w:tc>
        <w:tc>
          <w:tcPr>
            <w:tcW w:w="530" w:type="pct"/>
            <w:vMerge/>
            <w:tcBorders>
              <w:top w:val="single" w:sz="4" w:space="0" w:color="auto"/>
              <w:bottom w:val="single" w:sz="4" w:space="0" w:color="auto"/>
            </w:tcBorders>
            <w:noWrap/>
            <w:vAlign w:val="center"/>
            <w:hideMark/>
          </w:tcPr>
          <w:p w14:paraId="46C7D7D9" w14:textId="77777777" w:rsidR="001B05F5" w:rsidRPr="007E5190" w:rsidRDefault="001B05F5" w:rsidP="001374EE">
            <w:pPr>
              <w:jc w:val="center"/>
              <w:rPr>
                <w:rFonts w:ascii="Times New Roman" w:eastAsia="Times New Roman" w:hAnsi="Times New Roman" w:cs="Times New Roman"/>
                <w:b/>
                <w:bCs/>
                <w:kern w:val="0"/>
                <w:sz w:val="20"/>
                <w:szCs w:val="20"/>
                <w14:ligatures w14:val="none"/>
              </w:rPr>
            </w:pPr>
          </w:p>
        </w:tc>
        <w:tc>
          <w:tcPr>
            <w:tcW w:w="143" w:type="pct"/>
            <w:vMerge/>
            <w:tcBorders>
              <w:top w:val="single" w:sz="4" w:space="0" w:color="auto"/>
              <w:bottom w:val="single" w:sz="4" w:space="0" w:color="auto"/>
            </w:tcBorders>
            <w:vAlign w:val="center"/>
          </w:tcPr>
          <w:p w14:paraId="7BB07C37"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p>
        </w:tc>
        <w:tc>
          <w:tcPr>
            <w:tcW w:w="625" w:type="pct"/>
            <w:vMerge/>
            <w:tcBorders>
              <w:top w:val="single" w:sz="4" w:space="0" w:color="auto"/>
              <w:bottom w:val="single" w:sz="4" w:space="0" w:color="auto"/>
            </w:tcBorders>
            <w:noWrap/>
            <w:vAlign w:val="center"/>
            <w:hideMark/>
          </w:tcPr>
          <w:p w14:paraId="3C9A48C2"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p>
        </w:tc>
        <w:tc>
          <w:tcPr>
            <w:tcW w:w="434" w:type="pct"/>
            <w:tcBorders>
              <w:top w:val="single" w:sz="4" w:space="0" w:color="auto"/>
              <w:bottom w:val="single" w:sz="4" w:space="0" w:color="auto"/>
              <w:right w:val="nil"/>
            </w:tcBorders>
            <w:noWrap/>
            <w:vAlign w:val="center"/>
            <w:hideMark/>
          </w:tcPr>
          <w:p w14:paraId="05E62135" w14:textId="77777777" w:rsidR="001B05F5" w:rsidRPr="007E5190" w:rsidRDefault="001B05F5" w:rsidP="001374EE">
            <w:pPr>
              <w:jc w:val="center"/>
              <w:rPr>
                <w:rFonts w:ascii="Times New Roman" w:eastAsia="Times New Roman" w:hAnsi="Times New Roman" w:cs="Times New Roman"/>
                <w:b/>
                <w:bCs/>
                <w:color w:val="000000"/>
                <w:kern w:val="0"/>
                <w:sz w:val="22"/>
                <w:szCs w:val="22"/>
                <w14:ligatures w14:val="none"/>
              </w:rPr>
            </w:pPr>
            <w:r w:rsidRPr="007E5190">
              <w:rPr>
                <w:rFonts w:ascii="Times New Roman" w:eastAsia="Times New Roman" w:hAnsi="Times New Roman" w:cs="Times New Roman"/>
                <w:b/>
                <w:bCs/>
                <w:color w:val="000000"/>
                <w:kern w:val="0"/>
                <w:sz w:val="22"/>
                <w:szCs w:val="22"/>
                <w14:ligatures w14:val="none"/>
              </w:rPr>
              <w:t>H-A</w:t>
            </w:r>
          </w:p>
        </w:tc>
        <w:tc>
          <w:tcPr>
            <w:tcW w:w="381" w:type="pct"/>
            <w:tcBorders>
              <w:top w:val="single" w:sz="4" w:space="0" w:color="auto"/>
              <w:left w:val="nil"/>
              <w:bottom w:val="single" w:sz="4" w:space="0" w:color="auto"/>
            </w:tcBorders>
            <w:noWrap/>
            <w:vAlign w:val="center"/>
            <w:hideMark/>
          </w:tcPr>
          <w:p w14:paraId="6894A2DA" w14:textId="77777777" w:rsidR="001B05F5" w:rsidRPr="007E5190" w:rsidRDefault="001B05F5" w:rsidP="001374EE">
            <w:pPr>
              <w:jc w:val="center"/>
              <w:rPr>
                <w:rFonts w:ascii="Times New Roman" w:eastAsia="Times New Roman" w:hAnsi="Times New Roman" w:cs="Times New Roman"/>
                <w:b/>
                <w:bCs/>
                <w:kern w:val="0"/>
                <w:sz w:val="20"/>
                <w:szCs w:val="20"/>
                <w14:ligatures w14:val="none"/>
              </w:rPr>
            </w:pPr>
            <w:r w:rsidRPr="007E5190">
              <w:rPr>
                <w:rFonts w:ascii="Times New Roman" w:eastAsia="Times New Roman" w:hAnsi="Times New Roman" w:cs="Times New Roman"/>
                <w:b/>
                <w:bCs/>
                <w:color w:val="000000"/>
                <w:kern w:val="0"/>
                <w:sz w:val="22"/>
                <w:szCs w:val="22"/>
                <w14:ligatures w14:val="none"/>
              </w:rPr>
              <w:t>D-A</w:t>
            </w:r>
          </w:p>
        </w:tc>
      </w:tr>
      <w:tr w:rsidR="001374EE" w:rsidRPr="007E5190" w14:paraId="13904C4E" w14:textId="77777777" w:rsidTr="001374EE">
        <w:trPr>
          <w:trHeight w:val="432"/>
        </w:trPr>
        <w:tc>
          <w:tcPr>
            <w:tcW w:w="816" w:type="pct"/>
            <w:vMerge w:val="restart"/>
            <w:tcBorders>
              <w:top w:val="single" w:sz="4" w:space="0" w:color="auto"/>
            </w:tcBorders>
            <w:noWrap/>
            <w:vAlign w:val="center"/>
          </w:tcPr>
          <w:p w14:paraId="7593CC0E"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eastAsia="Times New Roman" w:hAnsi="Times New Roman" w:cs="Times New Roman"/>
                <w:color w:val="000000"/>
                <w:kern w:val="0"/>
                <w:sz w:val="22"/>
                <w:szCs w:val="22"/>
                <w14:ligatures w14:val="none"/>
              </w:rPr>
              <w:t>Control</w:t>
            </w:r>
          </w:p>
        </w:tc>
        <w:tc>
          <w:tcPr>
            <w:tcW w:w="579" w:type="pct"/>
            <w:tcBorders>
              <w:top w:val="single" w:sz="4" w:space="0" w:color="auto"/>
            </w:tcBorders>
            <w:noWrap/>
            <w:vAlign w:val="center"/>
          </w:tcPr>
          <w:p w14:paraId="42082F4B"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Gln40</w:t>
            </w:r>
          </w:p>
        </w:tc>
        <w:tc>
          <w:tcPr>
            <w:tcW w:w="720" w:type="pct"/>
            <w:tcBorders>
              <w:top w:val="single" w:sz="4" w:space="0" w:color="auto"/>
            </w:tcBorders>
            <w:noWrap/>
            <w:vAlign w:val="center"/>
          </w:tcPr>
          <w:p w14:paraId="4F0B33FA"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3.85</w:t>
            </w:r>
          </w:p>
        </w:tc>
        <w:tc>
          <w:tcPr>
            <w:tcW w:w="772" w:type="pct"/>
            <w:tcBorders>
              <w:top w:val="single" w:sz="4" w:space="0" w:color="auto"/>
            </w:tcBorders>
            <w:noWrap/>
            <w:vAlign w:val="center"/>
          </w:tcPr>
          <w:p w14:paraId="7BD5CE97"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C26</w:t>
            </w:r>
          </w:p>
        </w:tc>
        <w:tc>
          <w:tcPr>
            <w:tcW w:w="530" w:type="pct"/>
            <w:tcBorders>
              <w:top w:val="single" w:sz="4" w:space="0" w:color="auto"/>
            </w:tcBorders>
            <w:noWrap/>
            <w:vAlign w:val="center"/>
          </w:tcPr>
          <w:p w14:paraId="54636FB7"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C79</w:t>
            </w:r>
          </w:p>
        </w:tc>
        <w:tc>
          <w:tcPr>
            <w:tcW w:w="143" w:type="pct"/>
            <w:tcBorders>
              <w:top w:val="single" w:sz="4" w:space="0" w:color="auto"/>
              <w:bottom w:val="nil"/>
            </w:tcBorders>
            <w:vAlign w:val="center"/>
          </w:tcPr>
          <w:p w14:paraId="05C198E0"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tcBorders>
              <w:top w:val="single" w:sz="4" w:space="0" w:color="auto"/>
            </w:tcBorders>
            <w:noWrap/>
            <w:vAlign w:val="center"/>
          </w:tcPr>
          <w:p w14:paraId="6F12713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Thr39</w:t>
            </w:r>
          </w:p>
        </w:tc>
        <w:tc>
          <w:tcPr>
            <w:tcW w:w="434" w:type="pct"/>
            <w:tcBorders>
              <w:top w:val="single" w:sz="4" w:space="0" w:color="auto"/>
            </w:tcBorders>
            <w:noWrap/>
            <w:vAlign w:val="center"/>
          </w:tcPr>
          <w:p w14:paraId="318EFCEA"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2.59</w:t>
            </w:r>
          </w:p>
        </w:tc>
        <w:tc>
          <w:tcPr>
            <w:tcW w:w="381" w:type="pct"/>
            <w:tcBorders>
              <w:top w:val="single" w:sz="4" w:space="0" w:color="auto"/>
            </w:tcBorders>
            <w:noWrap/>
            <w:vAlign w:val="center"/>
          </w:tcPr>
          <w:p w14:paraId="5589690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3.77</w:t>
            </w:r>
          </w:p>
        </w:tc>
      </w:tr>
      <w:tr w:rsidR="001374EE" w:rsidRPr="007E5190" w14:paraId="525F1956" w14:textId="77777777" w:rsidTr="001374EE">
        <w:trPr>
          <w:trHeight w:val="432"/>
        </w:trPr>
        <w:tc>
          <w:tcPr>
            <w:tcW w:w="816" w:type="pct"/>
            <w:vMerge/>
            <w:noWrap/>
            <w:vAlign w:val="center"/>
          </w:tcPr>
          <w:p w14:paraId="21CBF65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tcPr>
          <w:p w14:paraId="28B77088"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Thr42</w:t>
            </w:r>
          </w:p>
        </w:tc>
        <w:tc>
          <w:tcPr>
            <w:tcW w:w="720" w:type="pct"/>
            <w:noWrap/>
            <w:vAlign w:val="center"/>
          </w:tcPr>
          <w:p w14:paraId="2064D8F7"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3.74</w:t>
            </w:r>
          </w:p>
        </w:tc>
        <w:tc>
          <w:tcPr>
            <w:tcW w:w="772" w:type="pct"/>
            <w:noWrap/>
            <w:vAlign w:val="center"/>
          </w:tcPr>
          <w:p w14:paraId="57E4411D"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C8</w:t>
            </w:r>
          </w:p>
        </w:tc>
        <w:tc>
          <w:tcPr>
            <w:tcW w:w="530" w:type="pct"/>
            <w:noWrap/>
            <w:vAlign w:val="center"/>
          </w:tcPr>
          <w:p w14:paraId="6AA2D704"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C98</w:t>
            </w:r>
          </w:p>
        </w:tc>
        <w:tc>
          <w:tcPr>
            <w:tcW w:w="143" w:type="pct"/>
            <w:tcBorders>
              <w:top w:val="nil"/>
            </w:tcBorders>
            <w:vAlign w:val="center"/>
          </w:tcPr>
          <w:p w14:paraId="041F9A5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tcPr>
          <w:p w14:paraId="4B717019"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Gln40</w:t>
            </w:r>
          </w:p>
        </w:tc>
        <w:tc>
          <w:tcPr>
            <w:tcW w:w="434" w:type="pct"/>
            <w:noWrap/>
            <w:vAlign w:val="center"/>
          </w:tcPr>
          <w:p w14:paraId="59E63D28"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2.08</w:t>
            </w:r>
          </w:p>
        </w:tc>
        <w:tc>
          <w:tcPr>
            <w:tcW w:w="381" w:type="pct"/>
            <w:noWrap/>
            <w:vAlign w:val="center"/>
          </w:tcPr>
          <w:p w14:paraId="70C50BB5"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2.93</w:t>
            </w:r>
          </w:p>
        </w:tc>
      </w:tr>
      <w:tr w:rsidR="001374EE" w:rsidRPr="007E5190" w14:paraId="787678DC" w14:textId="77777777" w:rsidTr="001374EE">
        <w:trPr>
          <w:trHeight w:val="432"/>
        </w:trPr>
        <w:tc>
          <w:tcPr>
            <w:tcW w:w="816" w:type="pct"/>
            <w:vMerge/>
            <w:noWrap/>
            <w:vAlign w:val="center"/>
          </w:tcPr>
          <w:p w14:paraId="255BD861"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tcPr>
          <w:p w14:paraId="4F88B670"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Glu92</w:t>
            </w:r>
          </w:p>
        </w:tc>
        <w:tc>
          <w:tcPr>
            <w:tcW w:w="720" w:type="pct"/>
            <w:noWrap/>
            <w:vAlign w:val="center"/>
          </w:tcPr>
          <w:p w14:paraId="4ACBBF2D"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3.30</w:t>
            </w:r>
          </w:p>
        </w:tc>
        <w:tc>
          <w:tcPr>
            <w:tcW w:w="772" w:type="pct"/>
            <w:noWrap/>
            <w:vAlign w:val="center"/>
          </w:tcPr>
          <w:p w14:paraId="05720F0C"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C23</w:t>
            </w:r>
          </w:p>
        </w:tc>
        <w:tc>
          <w:tcPr>
            <w:tcW w:w="530" w:type="pct"/>
            <w:noWrap/>
            <w:vAlign w:val="center"/>
          </w:tcPr>
          <w:p w14:paraId="03B7EFD8"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C521</w:t>
            </w:r>
          </w:p>
        </w:tc>
        <w:tc>
          <w:tcPr>
            <w:tcW w:w="143" w:type="pct"/>
            <w:vAlign w:val="center"/>
          </w:tcPr>
          <w:p w14:paraId="4278D29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tcPr>
          <w:p w14:paraId="3033A94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Gln40</w:t>
            </w:r>
          </w:p>
        </w:tc>
        <w:tc>
          <w:tcPr>
            <w:tcW w:w="434" w:type="pct"/>
            <w:noWrap/>
            <w:vAlign w:val="center"/>
          </w:tcPr>
          <w:p w14:paraId="48F1A1AB"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2.05</w:t>
            </w:r>
          </w:p>
        </w:tc>
        <w:tc>
          <w:tcPr>
            <w:tcW w:w="381" w:type="pct"/>
            <w:noWrap/>
            <w:vAlign w:val="center"/>
          </w:tcPr>
          <w:p w14:paraId="78D402A5"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2.71</w:t>
            </w:r>
          </w:p>
        </w:tc>
      </w:tr>
      <w:tr w:rsidR="001374EE" w:rsidRPr="007E5190" w14:paraId="6F372012" w14:textId="77777777" w:rsidTr="001374EE">
        <w:trPr>
          <w:trHeight w:val="432"/>
        </w:trPr>
        <w:tc>
          <w:tcPr>
            <w:tcW w:w="816" w:type="pct"/>
            <w:vMerge/>
            <w:noWrap/>
            <w:vAlign w:val="center"/>
          </w:tcPr>
          <w:p w14:paraId="7407991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tcPr>
          <w:p w14:paraId="6289DDDA"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Tyr96</w:t>
            </w:r>
          </w:p>
        </w:tc>
        <w:tc>
          <w:tcPr>
            <w:tcW w:w="720" w:type="pct"/>
            <w:noWrap/>
            <w:vAlign w:val="center"/>
          </w:tcPr>
          <w:p w14:paraId="5E10D8D3"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3.66</w:t>
            </w:r>
          </w:p>
        </w:tc>
        <w:tc>
          <w:tcPr>
            <w:tcW w:w="772" w:type="pct"/>
            <w:noWrap/>
            <w:vAlign w:val="center"/>
          </w:tcPr>
          <w:p w14:paraId="475AEE51"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C16</w:t>
            </w:r>
          </w:p>
        </w:tc>
        <w:tc>
          <w:tcPr>
            <w:tcW w:w="530" w:type="pct"/>
            <w:noWrap/>
            <w:vAlign w:val="center"/>
          </w:tcPr>
          <w:p w14:paraId="06758733"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r w:rsidRPr="007E5190">
              <w:rPr>
                <w:rFonts w:ascii="Times New Roman" w:hAnsi="Times New Roman" w:cs="Times New Roman"/>
              </w:rPr>
              <w:t>C560</w:t>
            </w:r>
          </w:p>
        </w:tc>
        <w:tc>
          <w:tcPr>
            <w:tcW w:w="143" w:type="pct"/>
            <w:vAlign w:val="center"/>
          </w:tcPr>
          <w:p w14:paraId="65D066F9"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tcPr>
          <w:p w14:paraId="070B482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Glu92</w:t>
            </w:r>
          </w:p>
        </w:tc>
        <w:tc>
          <w:tcPr>
            <w:tcW w:w="434" w:type="pct"/>
            <w:noWrap/>
            <w:vAlign w:val="center"/>
          </w:tcPr>
          <w:p w14:paraId="56DCF1D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2.46</w:t>
            </w:r>
          </w:p>
        </w:tc>
        <w:tc>
          <w:tcPr>
            <w:tcW w:w="381" w:type="pct"/>
            <w:noWrap/>
            <w:vAlign w:val="center"/>
          </w:tcPr>
          <w:p w14:paraId="75378D5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3.23</w:t>
            </w:r>
          </w:p>
        </w:tc>
      </w:tr>
      <w:tr w:rsidR="001374EE" w:rsidRPr="007E5190" w14:paraId="66E1C7AC" w14:textId="77777777" w:rsidTr="001374EE">
        <w:trPr>
          <w:trHeight w:val="432"/>
        </w:trPr>
        <w:tc>
          <w:tcPr>
            <w:tcW w:w="816" w:type="pct"/>
            <w:vMerge/>
            <w:noWrap/>
            <w:vAlign w:val="center"/>
          </w:tcPr>
          <w:p w14:paraId="30D632F9"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tcPr>
          <w:p w14:paraId="246E4B9B"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720" w:type="pct"/>
            <w:noWrap/>
            <w:vAlign w:val="center"/>
          </w:tcPr>
          <w:p w14:paraId="36574849"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772" w:type="pct"/>
            <w:noWrap/>
            <w:vAlign w:val="center"/>
          </w:tcPr>
          <w:p w14:paraId="4D7CDD3A"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530" w:type="pct"/>
            <w:noWrap/>
            <w:vAlign w:val="center"/>
          </w:tcPr>
          <w:p w14:paraId="4A3FE990"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143" w:type="pct"/>
            <w:vAlign w:val="center"/>
          </w:tcPr>
          <w:p w14:paraId="10F01DF2"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tcPr>
          <w:p w14:paraId="66B97E37"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Gln95</w:t>
            </w:r>
          </w:p>
        </w:tc>
        <w:tc>
          <w:tcPr>
            <w:tcW w:w="434" w:type="pct"/>
            <w:noWrap/>
            <w:vAlign w:val="center"/>
          </w:tcPr>
          <w:p w14:paraId="752BF1B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2.37</w:t>
            </w:r>
          </w:p>
        </w:tc>
        <w:tc>
          <w:tcPr>
            <w:tcW w:w="381" w:type="pct"/>
            <w:noWrap/>
            <w:vAlign w:val="center"/>
          </w:tcPr>
          <w:p w14:paraId="31E63090"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2.88</w:t>
            </w:r>
          </w:p>
        </w:tc>
      </w:tr>
      <w:tr w:rsidR="00D46243" w:rsidRPr="007E5190" w14:paraId="16967572" w14:textId="77777777" w:rsidTr="001374EE">
        <w:trPr>
          <w:trHeight w:val="432"/>
        </w:trPr>
        <w:tc>
          <w:tcPr>
            <w:tcW w:w="816" w:type="pct"/>
            <w:noWrap/>
            <w:vAlign w:val="center"/>
          </w:tcPr>
          <w:p w14:paraId="3603E4F2" w14:textId="77777777" w:rsidR="00D46243" w:rsidRPr="007E5190" w:rsidRDefault="00D46243"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tcPr>
          <w:p w14:paraId="4E72E76A" w14:textId="77777777" w:rsidR="00D46243" w:rsidRPr="007E5190" w:rsidRDefault="00D46243" w:rsidP="001374EE">
            <w:pPr>
              <w:jc w:val="center"/>
              <w:rPr>
                <w:rFonts w:ascii="Times New Roman" w:hAnsi="Times New Roman" w:cs="Times New Roman"/>
              </w:rPr>
            </w:pPr>
          </w:p>
        </w:tc>
        <w:tc>
          <w:tcPr>
            <w:tcW w:w="720" w:type="pct"/>
            <w:noWrap/>
            <w:vAlign w:val="center"/>
          </w:tcPr>
          <w:p w14:paraId="29249CA2" w14:textId="77777777" w:rsidR="00D46243" w:rsidRPr="007E5190" w:rsidRDefault="00D46243" w:rsidP="001374EE">
            <w:pPr>
              <w:jc w:val="center"/>
              <w:rPr>
                <w:rFonts w:ascii="Times New Roman" w:hAnsi="Times New Roman" w:cs="Times New Roman"/>
              </w:rPr>
            </w:pPr>
          </w:p>
        </w:tc>
        <w:tc>
          <w:tcPr>
            <w:tcW w:w="772" w:type="pct"/>
            <w:noWrap/>
            <w:vAlign w:val="center"/>
          </w:tcPr>
          <w:p w14:paraId="7C99C57E" w14:textId="77777777" w:rsidR="00D46243" w:rsidRPr="007E5190" w:rsidRDefault="00D46243" w:rsidP="001374EE">
            <w:pPr>
              <w:jc w:val="center"/>
              <w:rPr>
                <w:rFonts w:ascii="Times New Roman" w:hAnsi="Times New Roman" w:cs="Times New Roman"/>
              </w:rPr>
            </w:pPr>
          </w:p>
        </w:tc>
        <w:tc>
          <w:tcPr>
            <w:tcW w:w="530" w:type="pct"/>
            <w:noWrap/>
            <w:vAlign w:val="center"/>
          </w:tcPr>
          <w:p w14:paraId="323A8064" w14:textId="77777777" w:rsidR="00D46243" w:rsidRPr="007E5190" w:rsidRDefault="00D46243" w:rsidP="001374EE">
            <w:pPr>
              <w:jc w:val="center"/>
              <w:rPr>
                <w:rFonts w:ascii="Times New Roman" w:hAnsi="Times New Roman" w:cs="Times New Roman"/>
              </w:rPr>
            </w:pPr>
          </w:p>
        </w:tc>
        <w:tc>
          <w:tcPr>
            <w:tcW w:w="143" w:type="pct"/>
            <w:vAlign w:val="center"/>
          </w:tcPr>
          <w:p w14:paraId="095C3B7F" w14:textId="77777777" w:rsidR="00D46243" w:rsidRPr="007E5190" w:rsidRDefault="00D46243"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tcPr>
          <w:p w14:paraId="32632F56" w14:textId="77777777" w:rsidR="00D46243" w:rsidRPr="007E5190" w:rsidRDefault="00D46243" w:rsidP="001374EE">
            <w:pPr>
              <w:jc w:val="center"/>
              <w:rPr>
                <w:rFonts w:ascii="Times New Roman" w:hAnsi="Times New Roman" w:cs="Times New Roman"/>
              </w:rPr>
            </w:pPr>
          </w:p>
        </w:tc>
        <w:tc>
          <w:tcPr>
            <w:tcW w:w="434" w:type="pct"/>
            <w:noWrap/>
            <w:vAlign w:val="center"/>
          </w:tcPr>
          <w:p w14:paraId="221BB290" w14:textId="77777777" w:rsidR="00D46243" w:rsidRPr="007E5190" w:rsidRDefault="00D46243" w:rsidP="001374EE">
            <w:pPr>
              <w:jc w:val="center"/>
              <w:rPr>
                <w:rFonts w:ascii="Times New Roman" w:hAnsi="Times New Roman" w:cs="Times New Roman"/>
              </w:rPr>
            </w:pPr>
          </w:p>
        </w:tc>
        <w:tc>
          <w:tcPr>
            <w:tcW w:w="381" w:type="pct"/>
            <w:noWrap/>
            <w:vAlign w:val="center"/>
          </w:tcPr>
          <w:p w14:paraId="1B9DFA42" w14:textId="77777777" w:rsidR="00D46243" w:rsidRPr="007E5190" w:rsidRDefault="00D46243" w:rsidP="001374EE">
            <w:pPr>
              <w:jc w:val="center"/>
              <w:rPr>
                <w:rFonts w:ascii="Times New Roman" w:hAnsi="Times New Roman" w:cs="Times New Roman"/>
              </w:rPr>
            </w:pPr>
          </w:p>
        </w:tc>
      </w:tr>
      <w:tr w:rsidR="001374EE" w:rsidRPr="007E5190" w14:paraId="3EE5F69D" w14:textId="77777777" w:rsidTr="001374EE">
        <w:trPr>
          <w:trHeight w:val="432"/>
        </w:trPr>
        <w:tc>
          <w:tcPr>
            <w:tcW w:w="816" w:type="pct"/>
            <w:vMerge w:val="restart"/>
            <w:noWrap/>
            <w:vAlign w:val="center"/>
            <w:hideMark/>
          </w:tcPr>
          <w:p w14:paraId="7EB5F6A2" w14:textId="2EC69CAE" w:rsidR="001B05F5" w:rsidRPr="007E5190" w:rsidRDefault="00D46243"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eastAsia="Times New Roman" w:hAnsi="Times New Roman" w:cs="Times New Roman"/>
                <w:color w:val="000000"/>
                <w:kern w:val="0"/>
                <w:sz w:val="22"/>
                <w:szCs w:val="22"/>
                <w14:ligatures w14:val="none"/>
              </w:rPr>
              <w:t>Hederagenin</w:t>
            </w:r>
          </w:p>
          <w:p w14:paraId="5BA4943B" w14:textId="5A26C09E"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eastAsia="Times New Roman" w:hAnsi="Times New Roman" w:cs="Times New Roman"/>
                <w:color w:val="000000"/>
                <w:kern w:val="0"/>
                <w:sz w:val="22"/>
                <w:szCs w:val="22"/>
                <w14:ligatures w14:val="none"/>
              </w:rPr>
              <w:t>Analogue</w:t>
            </w:r>
          </w:p>
          <w:p w14:paraId="25C3AD4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hideMark/>
          </w:tcPr>
          <w:p w14:paraId="5EDC0D9B"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Thr150</w:t>
            </w:r>
          </w:p>
        </w:tc>
        <w:tc>
          <w:tcPr>
            <w:tcW w:w="720" w:type="pct"/>
            <w:noWrap/>
            <w:vAlign w:val="center"/>
            <w:hideMark/>
          </w:tcPr>
          <w:p w14:paraId="3B02DAB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3.69</w:t>
            </w:r>
          </w:p>
        </w:tc>
        <w:tc>
          <w:tcPr>
            <w:tcW w:w="772" w:type="pct"/>
            <w:noWrap/>
            <w:vAlign w:val="center"/>
            <w:hideMark/>
          </w:tcPr>
          <w:p w14:paraId="778D4511"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C14</w:t>
            </w:r>
          </w:p>
        </w:tc>
        <w:tc>
          <w:tcPr>
            <w:tcW w:w="530" w:type="pct"/>
            <w:noWrap/>
            <w:vAlign w:val="center"/>
            <w:hideMark/>
          </w:tcPr>
          <w:p w14:paraId="019F8BE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C1062</w:t>
            </w:r>
          </w:p>
        </w:tc>
        <w:tc>
          <w:tcPr>
            <w:tcW w:w="143" w:type="pct"/>
            <w:vAlign w:val="center"/>
          </w:tcPr>
          <w:p w14:paraId="60C7A231"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65A61A40"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Lys106</w:t>
            </w:r>
          </w:p>
        </w:tc>
        <w:tc>
          <w:tcPr>
            <w:tcW w:w="434" w:type="pct"/>
            <w:noWrap/>
            <w:vAlign w:val="center"/>
            <w:hideMark/>
          </w:tcPr>
          <w:p w14:paraId="3049F67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2.39</w:t>
            </w:r>
          </w:p>
        </w:tc>
        <w:tc>
          <w:tcPr>
            <w:tcW w:w="381" w:type="pct"/>
            <w:noWrap/>
            <w:vAlign w:val="center"/>
            <w:hideMark/>
          </w:tcPr>
          <w:p w14:paraId="20823989"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3.38</w:t>
            </w:r>
          </w:p>
        </w:tc>
      </w:tr>
      <w:tr w:rsidR="001374EE" w:rsidRPr="007E5190" w14:paraId="1E732F33" w14:textId="77777777" w:rsidTr="001374EE">
        <w:trPr>
          <w:trHeight w:val="432"/>
        </w:trPr>
        <w:tc>
          <w:tcPr>
            <w:tcW w:w="816" w:type="pct"/>
            <w:vMerge/>
            <w:noWrap/>
            <w:vAlign w:val="center"/>
            <w:hideMark/>
          </w:tcPr>
          <w:p w14:paraId="1732C792"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hideMark/>
          </w:tcPr>
          <w:p w14:paraId="121EDA0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Tyr170</w:t>
            </w:r>
          </w:p>
        </w:tc>
        <w:tc>
          <w:tcPr>
            <w:tcW w:w="720" w:type="pct"/>
            <w:noWrap/>
            <w:vAlign w:val="center"/>
            <w:hideMark/>
          </w:tcPr>
          <w:p w14:paraId="449FC611"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3.65</w:t>
            </w:r>
          </w:p>
        </w:tc>
        <w:tc>
          <w:tcPr>
            <w:tcW w:w="772" w:type="pct"/>
            <w:noWrap/>
            <w:vAlign w:val="center"/>
            <w:hideMark/>
          </w:tcPr>
          <w:p w14:paraId="407E4D7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C27</w:t>
            </w:r>
          </w:p>
        </w:tc>
        <w:tc>
          <w:tcPr>
            <w:tcW w:w="530" w:type="pct"/>
            <w:noWrap/>
            <w:vAlign w:val="center"/>
            <w:hideMark/>
          </w:tcPr>
          <w:p w14:paraId="486FDA60"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C1239</w:t>
            </w:r>
          </w:p>
        </w:tc>
        <w:tc>
          <w:tcPr>
            <w:tcW w:w="143" w:type="pct"/>
            <w:vAlign w:val="center"/>
          </w:tcPr>
          <w:p w14:paraId="06197B88"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1AA4BE0A"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Ser128</w:t>
            </w:r>
          </w:p>
        </w:tc>
        <w:tc>
          <w:tcPr>
            <w:tcW w:w="434" w:type="pct"/>
            <w:noWrap/>
            <w:vAlign w:val="center"/>
            <w:hideMark/>
          </w:tcPr>
          <w:p w14:paraId="3D1B50D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2.30</w:t>
            </w:r>
          </w:p>
        </w:tc>
        <w:tc>
          <w:tcPr>
            <w:tcW w:w="381" w:type="pct"/>
            <w:noWrap/>
            <w:vAlign w:val="center"/>
            <w:hideMark/>
          </w:tcPr>
          <w:p w14:paraId="5BF9EFD9"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3.12</w:t>
            </w:r>
          </w:p>
        </w:tc>
      </w:tr>
      <w:tr w:rsidR="001374EE" w:rsidRPr="007E5190" w14:paraId="4CB68094" w14:textId="77777777" w:rsidTr="001374EE">
        <w:trPr>
          <w:trHeight w:val="432"/>
        </w:trPr>
        <w:tc>
          <w:tcPr>
            <w:tcW w:w="816" w:type="pct"/>
            <w:vMerge/>
            <w:noWrap/>
            <w:vAlign w:val="center"/>
            <w:hideMark/>
          </w:tcPr>
          <w:p w14:paraId="43E6896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hideMark/>
          </w:tcPr>
          <w:p w14:paraId="7E32E28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Asp172</w:t>
            </w:r>
          </w:p>
        </w:tc>
        <w:tc>
          <w:tcPr>
            <w:tcW w:w="720" w:type="pct"/>
            <w:noWrap/>
            <w:vAlign w:val="center"/>
            <w:hideMark/>
          </w:tcPr>
          <w:p w14:paraId="01293D4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3.79</w:t>
            </w:r>
          </w:p>
        </w:tc>
        <w:tc>
          <w:tcPr>
            <w:tcW w:w="772" w:type="pct"/>
            <w:noWrap/>
            <w:vAlign w:val="center"/>
            <w:hideMark/>
          </w:tcPr>
          <w:p w14:paraId="26204D05"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C20</w:t>
            </w:r>
          </w:p>
        </w:tc>
        <w:tc>
          <w:tcPr>
            <w:tcW w:w="530" w:type="pct"/>
            <w:noWrap/>
            <w:vAlign w:val="center"/>
            <w:hideMark/>
          </w:tcPr>
          <w:p w14:paraId="40378133"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C1259</w:t>
            </w:r>
          </w:p>
        </w:tc>
        <w:tc>
          <w:tcPr>
            <w:tcW w:w="143" w:type="pct"/>
            <w:vAlign w:val="center"/>
          </w:tcPr>
          <w:p w14:paraId="2C645257"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1FB79672"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Thr150</w:t>
            </w:r>
          </w:p>
        </w:tc>
        <w:tc>
          <w:tcPr>
            <w:tcW w:w="434" w:type="pct"/>
            <w:noWrap/>
            <w:vAlign w:val="center"/>
            <w:hideMark/>
          </w:tcPr>
          <w:p w14:paraId="611347CA"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2.85</w:t>
            </w:r>
          </w:p>
        </w:tc>
        <w:tc>
          <w:tcPr>
            <w:tcW w:w="381" w:type="pct"/>
            <w:noWrap/>
            <w:vAlign w:val="center"/>
            <w:hideMark/>
          </w:tcPr>
          <w:p w14:paraId="3BB5E8F3"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3.74</w:t>
            </w:r>
          </w:p>
        </w:tc>
      </w:tr>
      <w:tr w:rsidR="001374EE" w:rsidRPr="007E5190" w14:paraId="296FB232" w14:textId="77777777" w:rsidTr="001374EE">
        <w:trPr>
          <w:trHeight w:val="432"/>
        </w:trPr>
        <w:tc>
          <w:tcPr>
            <w:tcW w:w="816" w:type="pct"/>
            <w:vMerge/>
            <w:noWrap/>
            <w:vAlign w:val="center"/>
            <w:hideMark/>
          </w:tcPr>
          <w:p w14:paraId="106F807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vAlign w:val="center"/>
          </w:tcPr>
          <w:p w14:paraId="20A10345"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720" w:type="pct"/>
            <w:noWrap/>
            <w:vAlign w:val="center"/>
            <w:hideMark/>
          </w:tcPr>
          <w:p w14:paraId="5C0728F5"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772" w:type="pct"/>
            <w:noWrap/>
            <w:vAlign w:val="center"/>
            <w:hideMark/>
          </w:tcPr>
          <w:p w14:paraId="19BB365E"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530" w:type="pct"/>
            <w:noWrap/>
            <w:vAlign w:val="center"/>
            <w:hideMark/>
          </w:tcPr>
          <w:p w14:paraId="3E217530"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143" w:type="pct"/>
            <w:vAlign w:val="center"/>
          </w:tcPr>
          <w:p w14:paraId="24997F64"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2FB8E7B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Asn195</w:t>
            </w:r>
          </w:p>
        </w:tc>
        <w:tc>
          <w:tcPr>
            <w:tcW w:w="434" w:type="pct"/>
            <w:noWrap/>
            <w:vAlign w:val="center"/>
            <w:hideMark/>
          </w:tcPr>
          <w:p w14:paraId="639DF66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2.06</w:t>
            </w:r>
          </w:p>
        </w:tc>
        <w:tc>
          <w:tcPr>
            <w:tcW w:w="381" w:type="pct"/>
            <w:noWrap/>
            <w:vAlign w:val="center"/>
            <w:hideMark/>
          </w:tcPr>
          <w:p w14:paraId="3E038E1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3.10</w:t>
            </w:r>
          </w:p>
        </w:tc>
      </w:tr>
      <w:tr w:rsidR="00D46243" w:rsidRPr="007E5190" w14:paraId="655FF203" w14:textId="77777777" w:rsidTr="001374EE">
        <w:trPr>
          <w:trHeight w:val="432"/>
        </w:trPr>
        <w:tc>
          <w:tcPr>
            <w:tcW w:w="816" w:type="pct"/>
            <w:noWrap/>
            <w:vAlign w:val="center"/>
          </w:tcPr>
          <w:p w14:paraId="7E191EAC" w14:textId="77777777" w:rsidR="00D46243" w:rsidRPr="007E5190" w:rsidRDefault="00D46243"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tcPr>
          <w:p w14:paraId="24BAAFD7" w14:textId="77777777" w:rsidR="00D46243" w:rsidRPr="007E5190" w:rsidRDefault="00D46243" w:rsidP="001374EE">
            <w:pPr>
              <w:jc w:val="center"/>
              <w:rPr>
                <w:rFonts w:ascii="Times New Roman" w:hAnsi="Times New Roman" w:cs="Times New Roman"/>
              </w:rPr>
            </w:pPr>
          </w:p>
        </w:tc>
        <w:tc>
          <w:tcPr>
            <w:tcW w:w="720" w:type="pct"/>
            <w:noWrap/>
            <w:vAlign w:val="center"/>
          </w:tcPr>
          <w:p w14:paraId="28F87F2F" w14:textId="77777777" w:rsidR="00D46243" w:rsidRPr="007E5190" w:rsidRDefault="00D46243" w:rsidP="001374EE">
            <w:pPr>
              <w:jc w:val="center"/>
              <w:rPr>
                <w:rFonts w:ascii="Times New Roman" w:hAnsi="Times New Roman" w:cs="Times New Roman"/>
              </w:rPr>
            </w:pPr>
          </w:p>
        </w:tc>
        <w:tc>
          <w:tcPr>
            <w:tcW w:w="772" w:type="pct"/>
            <w:noWrap/>
            <w:vAlign w:val="center"/>
          </w:tcPr>
          <w:p w14:paraId="6033EAC4" w14:textId="77777777" w:rsidR="00D46243" w:rsidRPr="007E5190" w:rsidRDefault="00D46243" w:rsidP="001374EE">
            <w:pPr>
              <w:jc w:val="center"/>
              <w:rPr>
                <w:rFonts w:ascii="Times New Roman" w:hAnsi="Times New Roman" w:cs="Times New Roman"/>
              </w:rPr>
            </w:pPr>
          </w:p>
        </w:tc>
        <w:tc>
          <w:tcPr>
            <w:tcW w:w="530" w:type="pct"/>
            <w:noWrap/>
            <w:vAlign w:val="center"/>
          </w:tcPr>
          <w:p w14:paraId="42C23FFD" w14:textId="77777777" w:rsidR="00D46243" w:rsidRPr="007E5190" w:rsidRDefault="00D46243" w:rsidP="001374EE">
            <w:pPr>
              <w:jc w:val="center"/>
              <w:rPr>
                <w:rFonts w:ascii="Times New Roman" w:hAnsi="Times New Roman" w:cs="Times New Roman"/>
              </w:rPr>
            </w:pPr>
          </w:p>
        </w:tc>
        <w:tc>
          <w:tcPr>
            <w:tcW w:w="143" w:type="pct"/>
            <w:vAlign w:val="center"/>
          </w:tcPr>
          <w:p w14:paraId="311D9E22" w14:textId="77777777" w:rsidR="00D46243" w:rsidRPr="007E5190" w:rsidRDefault="00D46243"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tcPr>
          <w:p w14:paraId="5848544B" w14:textId="77777777" w:rsidR="00D46243" w:rsidRPr="007E5190" w:rsidRDefault="00D46243" w:rsidP="001374EE">
            <w:pPr>
              <w:jc w:val="center"/>
              <w:rPr>
                <w:rFonts w:ascii="Times New Roman" w:hAnsi="Times New Roman" w:cs="Times New Roman"/>
              </w:rPr>
            </w:pPr>
          </w:p>
        </w:tc>
        <w:tc>
          <w:tcPr>
            <w:tcW w:w="434" w:type="pct"/>
            <w:noWrap/>
            <w:vAlign w:val="center"/>
          </w:tcPr>
          <w:p w14:paraId="69D6A832" w14:textId="77777777" w:rsidR="00D46243" w:rsidRPr="007E5190" w:rsidRDefault="00D46243" w:rsidP="001374EE">
            <w:pPr>
              <w:jc w:val="center"/>
              <w:rPr>
                <w:rFonts w:ascii="Times New Roman" w:hAnsi="Times New Roman" w:cs="Times New Roman"/>
              </w:rPr>
            </w:pPr>
          </w:p>
        </w:tc>
        <w:tc>
          <w:tcPr>
            <w:tcW w:w="381" w:type="pct"/>
            <w:noWrap/>
            <w:vAlign w:val="center"/>
          </w:tcPr>
          <w:p w14:paraId="6AFF7608" w14:textId="77777777" w:rsidR="00D46243" w:rsidRPr="007E5190" w:rsidRDefault="00D46243" w:rsidP="001374EE">
            <w:pPr>
              <w:jc w:val="center"/>
              <w:rPr>
                <w:rFonts w:ascii="Times New Roman" w:hAnsi="Times New Roman" w:cs="Times New Roman"/>
              </w:rPr>
            </w:pPr>
          </w:p>
        </w:tc>
      </w:tr>
      <w:tr w:rsidR="001374EE" w:rsidRPr="007E5190" w14:paraId="358CD77A" w14:textId="77777777" w:rsidTr="001374EE">
        <w:trPr>
          <w:trHeight w:val="432"/>
        </w:trPr>
        <w:tc>
          <w:tcPr>
            <w:tcW w:w="816" w:type="pct"/>
            <w:vMerge w:val="restart"/>
            <w:noWrap/>
            <w:vAlign w:val="center"/>
            <w:hideMark/>
          </w:tcPr>
          <w:p w14:paraId="40B81514"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eastAsia="Times New Roman" w:hAnsi="Times New Roman" w:cs="Times New Roman"/>
                <w:color w:val="000000"/>
                <w:kern w:val="0"/>
                <w:sz w:val="22"/>
                <w:szCs w:val="22"/>
                <w14:ligatures w14:val="none"/>
              </w:rPr>
              <w:t>Lupeol</w:t>
            </w:r>
          </w:p>
          <w:p w14:paraId="3D1402D4" w14:textId="55B21FF5"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eastAsia="Times New Roman" w:hAnsi="Times New Roman" w:cs="Times New Roman"/>
                <w:color w:val="000000"/>
                <w:kern w:val="0"/>
                <w:sz w:val="22"/>
                <w:szCs w:val="22"/>
                <w14:ligatures w14:val="none"/>
              </w:rPr>
              <w:t>Analogue</w:t>
            </w:r>
          </w:p>
        </w:tc>
        <w:tc>
          <w:tcPr>
            <w:tcW w:w="579" w:type="pct"/>
            <w:noWrap/>
            <w:vAlign w:val="center"/>
            <w:hideMark/>
          </w:tcPr>
          <w:p w14:paraId="43BD509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Asn195</w:t>
            </w:r>
          </w:p>
        </w:tc>
        <w:tc>
          <w:tcPr>
            <w:tcW w:w="720" w:type="pct"/>
            <w:noWrap/>
            <w:vAlign w:val="center"/>
            <w:hideMark/>
          </w:tcPr>
          <w:p w14:paraId="50CA6975"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3.89</w:t>
            </w:r>
          </w:p>
        </w:tc>
        <w:tc>
          <w:tcPr>
            <w:tcW w:w="772" w:type="pct"/>
            <w:noWrap/>
            <w:vAlign w:val="center"/>
            <w:hideMark/>
          </w:tcPr>
          <w:p w14:paraId="003C7FDB"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C21</w:t>
            </w:r>
          </w:p>
        </w:tc>
        <w:tc>
          <w:tcPr>
            <w:tcW w:w="530" w:type="pct"/>
            <w:noWrap/>
            <w:vAlign w:val="center"/>
            <w:hideMark/>
          </w:tcPr>
          <w:p w14:paraId="2C019993"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C1456</w:t>
            </w:r>
          </w:p>
        </w:tc>
        <w:tc>
          <w:tcPr>
            <w:tcW w:w="143" w:type="pct"/>
            <w:vAlign w:val="center"/>
          </w:tcPr>
          <w:p w14:paraId="546D6BE7"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04D15A6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Gln197</w:t>
            </w:r>
          </w:p>
        </w:tc>
        <w:tc>
          <w:tcPr>
            <w:tcW w:w="434" w:type="pct"/>
            <w:noWrap/>
            <w:vAlign w:val="center"/>
            <w:hideMark/>
          </w:tcPr>
          <w:p w14:paraId="6E86FBC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3.21</w:t>
            </w:r>
          </w:p>
        </w:tc>
        <w:tc>
          <w:tcPr>
            <w:tcW w:w="381" w:type="pct"/>
            <w:noWrap/>
            <w:vAlign w:val="center"/>
            <w:hideMark/>
          </w:tcPr>
          <w:p w14:paraId="4B7729D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4.02</w:t>
            </w:r>
          </w:p>
        </w:tc>
      </w:tr>
      <w:tr w:rsidR="001374EE" w:rsidRPr="007E5190" w14:paraId="47E23008" w14:textId="77777777" w:rsidTr="001374EE">
        <w:trPr>
          <w:trHeight w:val="432"/>
        </w:trPr>
        <w:tc>
          <w:tcPr>
            <w:tcW w:w="816" w:type="pct"/>
            <w:vMerge/>
            <w:noWrap/>
            <w:vAlign w:val="center"/>
          </w:tcPr>
          <w:p w14:paraId="773329E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hideMark/>
          </w:tcPr>
          <w:p w14:paraId="00DB60C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Asp217</w:t>
            </w:r>
          </w:p>
        </w:tc>
        <w:tc>
          <w:tcPr>
            <w:tcW w:w="720" w:type="pct"/>
            <w:noWrap/>
            <w:vAlign w:val="center"/>
            <w:hideMark/>
          </w:tcPr>
          <w:p w14:paraId="7B1D893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4.00</w:t>
            </w:r>
          </w:p>
        </w:tc>
        <w:tc>
          <w:tcPr>
            <w:tcW w:w="772" w:type="pct"/>
            <w:noWrap/>
            <w:vAlign w:val="center"/>
            <w:hideMark/>
          </w:tcPr>
          <w:p w14:paraId="3726D12A"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C10</w:t>
            </w:r>
          </w:p>
        </w:tc>
        <w:tc>
          <w:tcPr>
            <w:tcW w:w="530" w:type="pct"/>
            <w:noWrap/>
            <w:vAlign w:val="center"/>
            <w:hideMark/>
          </w:tcPr>
          <w:p w14:paraId="6732FBC4"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C1662</w:t>
            </w:r>
          </w:p>
        </w:tc>
        <w:tc>
          <w:tcPr>
            <w:tcW w:w="143" w:type="pct"/>
            <w:vAlign w:val="center"/>
          </w:tcPr>
          <w:p w14:paraId="29F1814B"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30F9F41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Lys219</w:t>
            </w:r>
          </w:p>
        </w:tc>
        <w:tc>
          <w:tcPr>
            <w:tcW w:w="434" w:type="pct"/>
            <w:noWrap/>
            <w:vAlign w:val="center"/>
            <w:hideMark/>
          </w:tcPr>
          <w:p w14:paraId="0015C1AB"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3.29</w:t>
            </w:r>
          </w:p>
        </w:tc>
        <w:tc>
          <w:tcPr>
            <w:tcW w:w="381" w:type="pct"/>
            <w:noWrap/>
            <w:vAlign w:val="center"/>
            <w:hideMark/>
          </w:tcPr>
          <w:p w14:paraId="5DB37025"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3.72</w:t>
            </w:r>
          </w:p>
        </w:tc>
      </w:tr>
      <w:tr w:rsidR="001374EE" w:rsidRPr="007E5190" w14:paraId="247644FA" w14:textId="77777777" w:rsidTr="001374EE">
        <w:trPr>
          <w:trHeight w:val="432"/>
        </w:trPr>
        <w:tc>
          <w:tcPr>
            <w:tcW w:w="816" w:type="pct"/>
            <w:vMerge/>
            <w:noWrap/>
            <w:vAlign w:val="center"/>
          </w:tcPr>
          <w:p w14:paraId="4B597C4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hideMark/>
          </w:tcPr>
          <w:p w14:paraId="43023DD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Gln241</w:t>
            </w:r>
          </w:p>
        </w:tc>
        <w:tc>
          <w:tcPr>
            <w:tcW w:w="720" w:type="pct"/>
            <w:noWrap/>
            <w:vAlign w:val="center"/>
            <w:hideMark/>
          </w:tcPr>
          <w:p w14:paraId="480B067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3.98</w:t>
            </w:r>
          </w:p>
        </w:tc>
        <w:tc>
          <w:tcPr>
            <w:tcW w:w="772" w:type="pct"/>
            <w:noWrap/>
            <w:vAlign w:val="center"/>
            <w:hideMark/>
          </w:tcPr>
          <w:p w14:paraId="6A05021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C18</w:t>
            </w:r>
          </w:p>
        </w:tc>
        <w:tc>
          <w:tcPr>
            <w:tcW w:w="530" w:type="pct"/>
            <w:noWrap/>
            <w:vAlign w:val="center"/>
            <w:hideMark/>
          </w:tcPr>
          <w:p w14:paraId="5D2EF36A"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C1908</w:t>
            </w:r>
          </w:p>
        </w:tc>
        <w:tc>
          <w:tcPr>
            <w:tcW w:w="143" w:type="pct"/>
            <w:vAlign w:val="center"/>
          </w:tcPr>
          <w:p w14:paraId="6D3D2463"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5DA9E5F8"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Asn240</w:t>
            </w:r>
          </w:p>
        </w:tc>
        <w:tc>
          <w:tcPr>
            <w:tcW w:w="434" w:type="pct"/>
            <w:noWrap/>
            <w:vAlign w:val="center"/>
            <w:hideMark/>
          </w:tcPr>
          <w:p w14:paraId="59E84C9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3.20</w:t>
            </w:r>
          </w:p>
        </w:tc>
        <w:tc>
          <w:tcPr>
            <w:tcW w:w="381" w:type="pct"/>
            <w:noWrap/>
            <w:vAlign w:val="center"/>
            <w:hideMark/>
          </w:tcPr>
          <w:p w14:paraId="3FCFDDA1"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3.58</w:t>
            </w:r>
          </w:p>
        </w:tc>
      </w:tr>
      <w:tr w:rsidR="001374EE" w:rsidRPr="007E5190" w14:paraId="7093715A" w14:textId="77777777" w:rsidTr="001374EE">
        <w:trPr>
          <w:trHeight w:val="432"/>
        </w:trPr>
        <w:tc>
          <w:tcPr>
            <w:tcW w:w="816" w:type="pct"/>
            <w:vMerge/>
            <w:noWrap/>
            <w:vAlign w:val="center"/>
          </w:tcPr>
          <w:p w14:paraId="6840FC57"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hideMark/>
          </w:tcPr>
          <w:p w14:paraId="201D876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720" w:type="pct"/>
            <w:noWrap/>
            <w:vAlign w:val="center"/>
            <w:hideMark/>
          </w:tcPr>
          <w:p w14:paraId="27E110B4"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772" w:type="pct"/>
            <w:noWrap/>
            <w:vAlign w:val="center"/>
            <w:hideMark/>
          </w:tcPr>
          <w:p w14:paraId="004A9466"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530" w:type="pct"/>
            <w:noWrap/>
            <w:vAlign w:val="center"/>
            <w:hideMark/>
          </w:tcPr>
          <w:p w14:paraId="482BB9B6"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143" w:type="pct"/>
            <w:vAlign w:val="center"/>
          </w:tcPr>
          <w:p w14:paraId="50805ED9"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67C389F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Thr263</w:t>
            </w:r>
          </w:p>
        </w:tc>
        <w:tc>
          <w:tcPr>
            <w:tcW w:w="434" w:type="pct"/>
            <w:noWrap/>
            <w:vAlign w:val="center"/>
            <w:hideMark/>
          </w:tcPr>
          <w:p w14:paraId="5391A2F9"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2.67</w:t>
            </w:r>
          </w:p>
        </w:tc>
        <w:tc>
          <w:tcPr>
            <w:tcW w:w="381" w:type="pct"/>
            <w:noWrap/>
            <w:vAlign w:val="center"/>
            <w:hideMark/>
          </w:tcPr>
          <w:p w14:paraId="15261229"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3.59</w:t>
            </w:r>
          </w:p>
        </w:tc>
      </w:tr>
      <w:tr w:rsidR="001374EE" w:rsidRPr="007E5190" w14:paraId="07DFA5F0" w14:textId="77777777" w:rsidTr="001374EE">
        <w:trPr>
          <w:trHeight w:val="432"/>
        </w:trPr>
        <w:tc>
          <w:tcPr>
            <w:tcW w:w="816" w:type="pct"/>
            <w:vMerge/>
            <w:noWrap/>
            <w:vAlign w:val="center"/>
          </w:tcPr>
          <w:p w14:paraId="63708E51"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hideMark/>
          </w:tcPr>
          <w:p w14:paraId="7010A6BE"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720" w:type="pct"/>
            <w:noWrap/>
            <w:vAlign w:val="center"/>
            <w:hideMark/>
          </w:tcPr>
          <w:p w14:paraId="49D9C7C0"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772" w:type="pct"/>
            <w:noWrap/>
            <w:vAlign w:val="center"/>
            <w:hideMark/>
          </w:tcPr>
          <w:p w14:paraId="42D0ECFD"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530" w:type="pct"/>
            <w:noWrap/>
            <w:vAlign w:val="center"/>
            <w:hideMark/>
          </w:tcPr>
          <w:p w14:paraId="64207063"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143" w:type="pct"/>
            <w:vAlign w:val="center"/>
          </w:tcPr>
          <w:p w14:paraId="4B8474E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3386CF0A"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Thr263</w:t>
            </w:r>
          </w:p>
        </w:tc>
        <w:tc>
          <w:tcPr>
            <w:tcW w:w="434" w:type="pct"/>
            <w:noWrap/>
            <w:vAlign w:val="center"/>
            <w:hideMark/>
          </w:tcPr>
          <w:p w14:paraId="55C180C8"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2.41</w:t>
            </w:r>
          </w:p>
        </w:tc>
        <w:tc>
          <w:tcPr>
            <w:tcW w:w="381" w:type="pct"/>
            <w:noWrap/>
            <w:vAlign w:val="center"/>
            <w:hideMark/>
          </w:tcPr>
          <w:p w14:paraId="7B7663CD"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3.22</w:t>
            </w:r>
          </w:p>
        </w:tc>
      </w:tr>
      <w:tr w:rsidR="00D46243" w:rsidRPr="007E5190" w14:paraId="2F2BBBC6" w14:textId="77777777" w:rsidTr="001374EE">
        <w:trPr>
          <w:trHeight w:val="432"/>
        </w:trPr>
        <w:tc>
          <w:tcPr>
            <w:tcW w:w="816" w:type="pct"/>
            <w:noWrap/>
            <w:vAlign w:val="center"/>
          </w:tcPr>
          <w:p w14:paraId="41AA99C6" w14:textId="77777777" w:rsidR="00D46243" w:rsidRPr="007E5190" w:rsidRDefault="00D46243" w:rsidP="001374EE">
            <w:pPr>
              <w:jc w:val="center"/>
              <w:rPr>
                <w:rFonts w:ascii="Times New Roman" w:eastAsia="Times New Roman" w:hAnsi="Times New Roman" w:cs="Times New Roman"/>
                <w:color w:val="000000"/>
                <w:kern w:val="0"/>
                <w:sz w:val="22"/>
                <w:szCs w:val="22"/>
                <w14:ligatures w14:val="none"/>
              </w:rPr>
            </w:pPr>
          </w:p>
        </w:tc>
        <w:tc>
          <w:tcPr>
            <w:tcW w:w="579" w:type="pct"/>
            <w:noWrap/>
            <w:vAlign w:val="center"/>
          </w:tcPr>
          <w:p w14:paraId="48DA0DBB" w14:textId="77777777" w:rsidR="00D46243" w:rsidRPr="007E5190" w:rsidRDefault="00D46243" w:rsidP="001374EE">
            <w:pPr>
              <w:jc w:val="center"/>
              <w:rPr>
                <w:rFonts w:ascii="Times New Roman" w:hAnsi="Times New Roman" w:cs="Times New Roman"/>
              </w:rPr>
            </w:pPr>
          </w:p>
        </w:tc>
        <w:tc>
          <w:tcPr>
            <w:tcW w:w="720" w:type="pct"/>
            <w:noWrap/>
            <w:vAlign w:val="center"/>
          </w:tcPr>
          <w:p w14:paraId="704D9FBD" w14:textId="77777777" w:rsidR="00D46243" w:rsidRPr="007E5190" w:rsidRDefault="00D46243" w:rsidP="001374EE">
            <w:pPr>
              <w:jc w:val="center"/>
              <w:rPr>
                <w:rFonts w:ascii="Times New Roman" w:hAnsi="Times New Roman" w:cs="Times New Roman"/>
              </w:rPr>
            </w:pPr>
          </w:p>
        </w:tc>
        <w:tc>
          <w:tcPr>
            <w:tcW w:w="772" w:type="pct"/>
            <w:noWrap/>
            <w:vAlign w:val="center"/>
          </w:tcPr>
          <w:p w14:paraId="6CF60992" w14:textId="77777777" w:rsidR="00D46243" w:rsidRPr="007E5190" w:rsidRDefault="00D46243" w:rsidP="001374EE">
            <w:pPr>
              <w:jc w:val="center"/>
              <w:rPr>
                <w:rFonts w:ascii="Times New Roman" w:hAnsi="Times New Roman" w:cs="Times New Roman"/>
              </w:rPr>
            </w:pPr>
          </w:p>
        </w:tc>
        <w:tc>
          <w:tcPr>
            <w:tcW w:w="530" w:type="pct"/>
            <w:noWrap/>
            <w:vAlign w:val="center"/>
          </w:tcPr>
          <w:p w14:paraId="35DA263E" w14:textId="77777777" w:rsidR="00D46243" w:rsidRPr="007E5190" w:rsidRDefault="00D46243" w:rsidP="001374EE">
            <w:pPr>
              <w:jc w:val="center"/>
              <w:rPr>
                <w:rFonts w:ascii="Times New Roman" w:hAnsi="Times New Roman" w:cs="Times New Roman"/>
              </w:rPr>
            </w:pPr>
          </w:p>
        </w:tc>
        <w:tc>
          <w:tcPr>
            <w:tcW w:w="143" w:type="pct"/>
            <w:vAlign w:val="center"/>
          </w:tcPr>
          <w:p w14:paraId="0CF9EA46" w14:textId="77777777" w:rsidR="00D46243" w:rsidRPr="007E5190" w:rsidRDefault="00D46243"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tcPr>
          <w:p w14:paraId="6A9D396C" w14:textId="77777777" w:rsidR="00D46243" w:rsidRPr="007E5190" w:rsidRDefault="00D46243" w:rsidP="001374EE">
            <w:pPr>
              <w:jc w:val="center"/>
              <w:rPr>
                <w:rFonts w:ascii="Times New Roman" w:hAnsi="Times New Roman" w:cs="Times New Roman"/>
              </w:rPr>
            </w:pPr>
          </w:p>
        </w:tc>
        <w:tc>
          <w:tcPr>
            <w:tcW w:w="434" w:type="pct"/>
            <w:noWrap/>
            <w:vAlign w:val="center"/>
          </w:tcPr>
          <w:p w14:paraId="2CB0D4B4" w14:textId="77777777" w:rsidR="00D46243" w:rsidRPr="007E5190" w:rsidRDefault="00D46243" w:rsidP="001374EE">
            <w:pPr>
              <w:jc w:val="center"/>
              <w:rPr>
                <w:rFonts w:ascii="Times New Roman" w:hAnsi="Times New Roman" w:cs="Times New Roman"/>
              </w:rPr>
            </w:pPr>
          </w:p>
        </w:tc>
        <w:tc>
          <w:tcPr>
            <w:tcW w:w="381" w:type="pct"/>
            <w:noWrap/>
            <w:vAlign w:val="center"/>
          </w:tcPr>
          <w:p w14:paraId="16DCC985" w14:textId="77777777" w:rsidR="00D46243" w:rsidRPr="007E5190" w:rsidRDefault="00D46243" w:rsidP="001374EE">
            <w:pPr>
              <w:jc w:val="center"/>
              <w:rPr>
                <w:rFonts w:ascii="Times New Roman" w:hAnsi="Times New Roman" w:cs="Times New Roman"/>
              </w:rPr>
            </w:pPr>
          </w:p>
        </w:tc>
      </w:tr>
      <w:tr w:rsidR="001374EE" w:rsidRPr="007E5190" w14:paraId="20A9E937" w14:textId="77777777" w:rsidTr="001374EE">
        <w:trPr>
          <w:trHeight w:val="432"/>
        </w:trPr>
        <w:tc>
          <w:tcPr>
            <w:tcW w:w="816" w:type="pct"/>
            <w:vMerge w:val="restart"/>
            <w:noWrap/>
            <w:vAlign w:val="center"/>
            <w:hideMark/>
          </w:tcPr>
          <w:p w14:paraId="424EB703"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roofErr w:type="spellStart"/>
            <w:r w:rsidRPr="007E5190">
              <w:rPr>
                <w:rFonts w:ascii="Times New Roman" w:eastAsia="Times New Roman" w:hAnsi="Times New Roman" w:cs="Times New Roman"/>
                <w:color w:val="000000"/>
                <w:kern w:val="0"/>
                <w:sz w:val="22"/>
                <w:szCs w:val="22"/>
                <w14:ligatures w14:val="none"/>
              </w:rPr>
              <w:t>Maslinic</w:t>
            </w:r>
            <w:proofErr w:type="spellEnd"/>
            <w:r w:rsidRPr="007E5190">
              <w:rPr>
                <w:rFonts w:ascii="Times New Roman" w:eastAsia="Times New Roman" w:hAnsi="Times New Roman" w:cs="Times New Roman"/>
                <w:color w:val="000000"/>
                <w:kern w:val="0"/>
                <w:sz w:val="22"/>
                <w:szCs w:val="22"/>
                <w14:ligatures w14:val="none"/>
              </w:rPr>
              <w:t xml:space="preserve"> Acid</w:t>
            </w:r>
          </w:p>
          <w:p w14:paraId="29EDA269" w14:textId="3FE90E26"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eastAsia="Times New Roman" w:hAnsi="Times New Roman" w:cs="Times New Roman"/>
                <w:color w:val="000000"/>
                <w:kern w:val="0"/>
                <w:sz w:val="22"/>
                <w:szCs w:val="22"/>
                <w14:ligatures w14:val="none"/>
              </w:rPr>
              <w:t>Analogue</w:t>
            </w:r>
          </w:p>
        </w:tc>
        <w:tc>
          <w:tcPr>
            <w:tcW w:w="579" w:type="pct"/>
            <w:noWrap/>
            <w:vAlign w:val="center"/>
            <w:hideMark/>
          </w:tcPr>
          <w:p w14:paraId="1C7C4ECB"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Glu92</w:t>
            </w:r>
          </w:p>
        </w:tc>
        <w:tc>
          <w:tcPr>
            <w:tcW w:w="720" w:type="pct"/>
            <w:noWrap/>
            <w:vAlign w:val="center"/>
            <w:hideMark/>
          </w:tcPr>
          <w:p w14:paraId="67E78182"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3.69</w:t>
            </w:r>
          </w:p>
        </w:tc>
        <w:tc>
          <w:tcPr>
            <w:tcW w:w="772" w:type="pct"/>
            <w:noWrap/>
            <w:vAlign w:val="center"/>
            <w:hideMark/>
          </w:tcPr>
          <w:p w14:paraId="3760482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C23</w:t>
            </w:r>
          </w:p>
        </w:tc>
        <w:tc>
          <w:tcPr>
            <w:tcW w:w="530" w:type="pct"/>
            <w:noWrap/>
            <w:vAlign w:val="center"/>
            <w:hideMark/>
          </w:tcPr>
          <w:p w14:paraId="03BD81B3"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C522</w:t>
            </w:r>
          </w:p>
        </w:tc>
        <w:tc>
          <w:tcPr>
            <w:tcW w:w="143" w:type="pct"/>
            <w:vAlign w:val="center"/>
          </w:tcPr>
          <w:p w14:paraId="18256EF8"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6F1EE9B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Gln40</w:t>
            </w:r>
          </w:p>
        </w:tc>
        <w:tc>
          <w:tcPr>
            <w:tcW w:w="434" w:type="pct"/>
            <w:noWrap/>
            <w:vAlign w:val="center"/>
            <w:hideMark/>
          </w:tcPr>
          <w:p w14:paraId="0FFA336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1.82</w:t>
            </w:r>
          </w:p>
        </w:tc>
        <w:tc>
          <w:tcPr>
            <w:tcW w:w="381" w:type="pct"/>
            <w:noWrap/>
            <w:vAlign w:val="center"/>
            <w:hideMark/>
          </w:tcPr>
          <w:p w14:paraId="0C93E44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2.73</w:t>
            </w:r>
          </w:p>
        </w:tc>
      </w:tr>
      <w:tr w:rsidR="001374EE" w:rsidRPr="007E5190" w14:paraId="7400F3EE" w14:textId="77777777" w:rsidTr="001374EE">
        <w:trPr>
          <w:trHeight w:val="432"/>
        </w:trPr>
        <w:tc>
          <w:tcPr>
            <w:tcW w:w="816" w:type="pct"/>
            <w:vMerge/>
            <w:noWrap/>
            <w:vAlign w:val="center"/>
          </w:tcPr>
          <w:p w14:paraId="31649FE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vAlign w:val="center"/>
          </w:tcPr>
          <w:p w14:paraId="7C5707E1"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720" w:type="pct"/>
            <w:noWrap/>
            <w:vAlign w:val="center"/>
            <w:hideMark/>
          </w:tcPr>
          <w:p w14:paraId="31D62DF6"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772" w:type="pct"/>
            <w:noWrap/>
            <w:vAlign w:val="center"/>
            <w:hideMark/>
          </w:tcPr>
          <w:p w14:paraId="00AE0D83"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530" w:type="pct"/>
            <w:noWrap/>
            <w:vAlign w:val="center"/>
            <w:hideMark/>
          </w:tcPr>
          <w:p w14:paraId="30491795"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143" w:type="pct"/>
            <w:vAlign w:val="center"/>
          </w:tcPr>
          <w:p w14:paraId="7F1A836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3730B8D7"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Gln95</w:t>
            </w:r>
          </w:p>
        </w:tc>
        <w:tc>
          <w:tcPr>
            <w:tcW w:w="434" w:type="pct"/>
            <w:noWrap/>
            <w:vAlign w:val="center"/>
            <w:hideMark/>
          </w:tcPr>
          <w:p w14:paraId="632FCFDE"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2.09</w:t>
            </w:r>
          </w:p>
        </w:tc>
        <w:tc>
          <w:tcPr>
            <w:tcW w:w="381" w:type="pct"/>
            <w:noWrap/>
            <w:vAlign w:val="center"/>
            <w:hideMark/>
          </w:tcPr>
          <w:p w14:paraId="3C466798"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3.02</w:t>
            </w:r>
          </w:p>
        </w:tc>
      </w:tr>
      <w:tr w:rsidR="001374EE" w:rsidRPr="007E5190" w14:paraId="0621D638" w14:textId="77777777" w:rsidTr="001374EE">
        <w:trPr>
          <w:trHeight w:val="432"/>
        </w:trPr>
        <w:tc>
          <w:tcPr>
            <w:tcW w:w="816" w:type="pct"/>
            <w:vMerge/>
            <w:noWrap/>
            <w:vAlign w:val="center"/>
          </w:tcPr>
          <w:p w14:paraId="639AD6C3"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579" w:type="pct"/>
            <w:vAlign w:val="center"/>
          </w:tcPr>
          <w:p w14:paraId="462DE6DC"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720" w:type="pct"/>
            <w:noWrap/>
            <w:vAlign w:val="center"/>
            <w:hideMark/>
          </w:tcPr>
          <w:p w14:paraId="69FE4E9A"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772" w:type="pct"/>
            <w:noWrap/>
            <w:vAlign w:val="center"/>
            <w:hideMark/>
          </w:tcPr>
          <w:p w14:paraId="5C1A4B20"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530" w:type="pct"/>
            <w:noWrap/>
            <w:vAlign w:val="center"/>
            <w:hideMark/>
          </w:tcPr>
          <w:p w14:paraId="77C0FB04" w14:textId="77777777" w:rsidR="001B05F5" w:rsidRPr="007E5190" w:rsidRDefault="001B05F5" w:rsidP="001374EE">
            <w:pPr>
              <w:jc w:val="center"/>
              <w:rPr>
                <w:rFonts w:ascii="Times New Roman" w:eastAsia="Times New Roman" w:hAnsi="Times New Roman" w:cs="Times New Roman"/>
                <w:kern w:val="0"/>
                <w:sz w:val="20"/>
                <w:szCs w:val="20"/>
                <w14:ligatures w14:val="none"/>
              </w:rPr>
            </w:pPr>
          </w:p>
        </w:tc>
        <w:tc>
          <w:tcPr>
            <w:tcW w:w="143" w:type="pct"/>
            <w:vAlign w:val="center"/>
          </w:tcPr>
          <w:p w14:paraId="416AB3FA"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p>
        </w:tc>
        <w:tc>
          <w:tcPr>
            <w:tcW w:w="625" w:type="pct"/>
            <w:noWrap/>
            <w:vAlign w:val="center"/>
            <w:hideMark/>
          </w:tcPr>
          <w:p w14:paraId="35874A79"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Tyr96</w:t>
            </w:r>
          </w:p>
        </w:tc>
        <w:tc>
          <w:tcPr>
            <w:tcW w:w="434" w:type="pct"/>
            <w:noWrap/>
            <w:vAlign w:val="center"/>
            <w:hideMark/>
          </w:tcPr>
          <w:p w14:paraId="2240D6D4"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2.42</w:t>
            </w:r>
          </w:p>
        </w:tc>
        <w:tc>
          <w:tcPr>
            <w:tcW w:w="381" w:type="pct"/>
            <w:noWrap/>
            <w:vAlign w:val="center"/>
            <w:hideMark/>
          </w:tcPr>
          <w:p w14:paraId="2C7E58CF" w14:textId="77777777" w:rsidR="001B05F5" w:rsidRPr="007E5190" w:rsidRDefault="001B05F5" w:rsidP="001374EE">
            <w:pPr>
              <w:jc w:val="center"/>
              <w:rPr>
                <w:rFonts w:ascii="Times New Roman" w:eastAsia="Times New Roman" w:hAnsi="Times New Roman" w:cs="Times New Roman"/>
                <w:color w:val="000000"/>
                <w:kern w:val="0"/>
                <w:sz w:val="22"/>
                <w:szCs w:val="22"/>
                <w14:ligatures w14:val="none"/>
              </w:rPr>
            </w:pPr>
            <w:r w:rsidRPr="007E5190">
              <w:rPr>
                <w:rFonts w:ascii="Times New Roman" w:hAnsi="Times New Roman" w:cs="Times New Roman"/>
              </w:rPr>
              <w:t>3.04</w:t>
            </w:r>
          </w:p>
        </w:tc>
      </w:tr>
    </w:tbl>
    <w:p w14:paraId="752D1DDB" w14:textId="77777777" w:rsidR="007E5190" w:rsidRPr="007E5190" w:rsidRDefault="007E5190" w:rsidP="007E5190">
      <w:pPr>
        <w:pStyle w:val="Heading2"/>
      </w:pPr>
      <w:r w:rsidRPr="007E5190">
        <w:t>Analysis of Key Binding Residues</w:t>
      </w:r>
    </w:p>
    <w:p w14:paraId="52C29468" w14:textId="6A509C18" w:rsidR="001B05F5" w:rsidRPr="007E5190" w:rsidRDefault="007E5190" w:rsidP="001B05F5">
      <w:pPr>
        <w:rPr>
          <w:rFonts w:ascii="Times New Roman" w:hAnsi="Times New Roman" w:cs="Times New Roman"/>
        </w:rPr>
      </w:pPr>
      <w:r w:rsidRPr="007E5190">
        <w:rPr>
          <w:rFonts w:ascii="Times New Roman" w:hAnsi="Times New Roman" w:cs="Times New Roman"/>
        </w:rPr>
        <w:t xml:space="preserve">The interaction analysis highlights the critical role of specific residues within the Internalin H binding pocket. As detailed in </w:t>
      </w:r>
      <w:r w:rsidRPr="007E5190">
        <w:rPr>
          <w:rFonts w:ascii="Times New Roman" w:hAnsi="Times New Roman" w:cs="Times New Roman"/>
          <w:b/>
          <w:bCs/>
          <w:color w:val="4472C4" w:themeColor="accent1"/>
        </w:rPr>
        <w:fldChar w:fldCharType="begin"/>
      </w:r>
      <w:r w:rsidRPr="007E5190">
        <w:rPr>
          <w:rFonts w:ascii="Times New Roman" w:hAnsi="Times New Roman" w:cs="Times New Roman"/>
          <w:color w:val="4472C4" w:themeColor="accent1"/>
        </w:rPr>
        <w:instrText xml:space="preserve"> REF _Ref214595091 \h </w:instrText>
      </w:r>
      <w:r w:rsidRPr="007E5190">
        <w:rPr>
          <w:rFonts w:ascii="Times New Roman" w:hAnsi="Times New Roman" w:cs="Times New Roman"/>
          <w:b/>
          <w:bCs/>
          <w:color w:val="4472C4" w:themeColor="accent1"/>
        </w:rPr>
      </w:r>
      <w:r w:rsidRPr="007E5190">
        <w:rPr>
          <w:rFonts w:ascii="Times New Roman" w:hAnsi="Times New Roman" w:cs="Times New Roman"/>
          <w:b/>
          <w:bCs/>
          <w:color w:val="4472C4" w:themeColor="accent1"/>
        </w:rPr>
        <w:instrText xml:space="preserve"> \* MERGEFORMAT </w:instrText>
      </w:r>
      <w:r w:rsidRPr="007E5190">
        <w:rPr>
          <w:rFonts w:ascii="Times New Roman" w:hAnsi="Times New Roman" w:cs="Times New Roman"/>
          <w:b/>
          <w:bCs/>
          <w:color w:val="4472C4" w:themeColor="accent1"/>
        </w:rPr>
        <w:fldChar w:fldCharType="separate"/>
      </w:r>
      <w:r w:rsidRPr="007E5190">
        <w:rPr>
          <w:rFonts w:ascii="Times New Roman" w:hAnsi="Times New Roman" w:cs="Times New Roman"/>
          <w:color w:val="4472C4" w:themeColor="accent1"/>
        </w:rPr>
        <w:t xml:space="preserve">Table </w:t>
      </w:r>
      <w:r w:rsidRPr="007E5190">
        <w:rPr>
          <w:rFonts w:ascii="Times New Roman" w:hAnsi="Times New Roman" w:cs="Times New Roman"/>
          <w:noProof/>
          <w:color w:val="4472C4" w:themeColor="accent1"/>
        </w:rPr>
        <w:t>5</w:t>
      </w:r>
      <w:r w:rsidRPr="007E5190">
        <w:rPr>
          <w:rFonts w:ascii="Times New Roman" w:hAnsi="Times New Roman" w:cs="Times New Roman"/>
          <w:b/>
          <w:bCs/>
          <w:color w:val="4472C4" w:themeColor="accent1"/>
        </w:rPr>
        <w:fldChar w:fldCharType="end"/>
      </w:r>
      <w:r w:rsidRPr="007E5190">
        <w:rPr>
          <w:rFonts w:ascii="Times New Roman" w:hAnsi="Times New Roman" w:cs="Times New Roman"/>
        </w:rPr>
        <w:t xml:space="preserve">, residues such as Lys106, Thr150, and Gln40 act as primary anchors, forming persistent hydrogen bonds that lock the ligands into the active site. Structurally, these residues are located within the concave face of the Leucine-Rich Repeat (LRR) domain, which is the canonical protein-protein interaction interface responsible for host cell recognition. Other residues, such as Asp172 and Asn195, contribute to the hydrophobic enclosure of the triterpenoid scaffold. The engagement of these specific residues is biologically significant because it suggests the inhibitors physically obstruct the surface region required for </w:t>
      </w:r>
      <w:proofErr w:type="spellStart"/>
      <w:r w:rsidRPr="007E5190">
        <w:rPr>
          <w:rFonts w:ascii="Times New Roman" w:hAnsi="Times New Roman" w:cs="Times New Roman"/>
        </w:rPr>
        <w:t>InlH</w:t>
      </w:r>
      <w:proofErr w:type="spellEnd"/>
      <w:r w:rsidRPr="007E5190">
        <w:rPr>
          <w:rFonts w:ascii="Times New Roman" w:hAnsi="Times New Roman" w:cs="Times New Roman"/>
        </w:rPr>
        <w:t xml:space="preserve"> to interact with host receptors, thereby mechanically blocking the virulence mechanism.</w:t>
      </w:r>
    </w:p>
    <w:p w14:paraId="5F7EDC09" w14:textId="02736561" w:rsidR="00794D96" w:rsidRPr="007E5190" w:rsidRDefault="00794D96" w:rsidP="00DD06FA">
      <w:pPr>
        <w:pStyle w:val="Heading2"/>
        <w:rPr>
          <w:rFonts w:cs="Times New Roman"/>
        </w:rPr>
      </w:pPr>
      <w:r w:rsidRPr="007E5190">
        <w:rPr>
          <w:rFonts w:cs="Times New Roman"/>
        </w:rPr>
        <w:t>In Silico ADMET and Physicochemical Profiling</w:t>
      </w:r>
    </w:p>
    <w:p w14:paraId="20CC35D0" w14:textId="0626E39C"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After identifying the top-scoring candidates from the virtual screening, their "drug-likeness" and pharmacokinetic properties were evaluated </w:t>
      </w:r>
      <w:r w:rsidRPr="007E5190">
        <w:rPr>
          <w:rFonts w:ascii="Times New Roman" w:hAnsi="Times New Roman" w:cs="Times New Roman"/>
          <w:i/>
          <w:iCs/>
          <w:color w:val="0D0D0D" w:themeColor="text1" w:themeTint="F2"/>
        </w:rPr>
        <w:t>in silico</w:t>
      </w:r>
      <w:r w:rsidRPr="007E5190">
        <w:rPr>
          <w:rFonts w:ascii="Times New Roman" w:hAnsi="Times New Roman" w:cs="Times New Roman"/>
          <w:color w:val="0D0D0D" w:themeColor="text1" w:themeTint="F2"/>
        </w:rPr>
        <w:t xml:space="preserve"> using the </w:t>
      </w:r>
      <w:proofErr w:type="spellStart"/>
      <w:r w:rsidRPr="007E5190">
        <w:rPr>
          <w:rFonts w:ascii="Times New Roman" w:hAnsi="Times New Roman" w:cs="Times New Roman"/>
          <w:color w:val="0D0D0D" w:themeColor="text1" w:themeTint="F2"/>
        </w:rPr>
        <w:t>SwissADME</w:t>
      </w:r>
      <w:proofErr w:type="spellEnd"/>
      <w:r w:rsidRPr="007E5190">
        <w:rPr>
          <w:rFonts w:ascii="Times New Roman" w:hAnsi="Times New Roman" w:cs="Times New Roman"/>
          <w:color w:val="0D0D0D" w:themeColor="text1" w:themeTint="F2"/>
        </w:rPr>
        <w:t xml:space="preserve"> web server. This step was crucial to ensure that the lead compounds possess favorable properties before proceeding to more computationally intensive validations.</w:t>
      </w:r>
    </w:p>
    <w:p w14:paraId="097C7C7E" w14:textId="163BD246" w:rsidR="00207A99" w:rsidRPr="007E5190" w:rsidRDefault="00207A99" w:rsidP="00207A99">
      <w:pPr>
        <w:pStyle w:val="Caption"/>
        <w:keepNext/>
        <w:rPr>
          <w:rFonts w:ascii="Times New Roman" w:hAnsi="Times New Roman" w:cs="Times New Roman"/>
          <w:color w:val="0D0D0D" w:themeColor="text1" w:themeTint="F2"/>
          <w:sz w:val="24"/>
          <w:szCs w:val="24"/>
        </w:rPr>
      </w:pPr>
      <w:bookmarkStart w:id="8" w:name="_Ref213060948"/>
      <w:r w:rsidRPr="007E5190">
        <w:rPr>
          <w:rFonts w:ascii="Times New Roman" w:hAnsi="Times New Roman" w:cs="Times New Roman"/>
          <w:color w:val="0D0D0D" w:themeColor="text1" w:themeTint="F2"/>
          <w:sz w:val="24"/>
          <w:szCs w:val="24"/>
        </w:rPr>
        <w:t xml:space="preserve">Table </w:t>
      </w:r>
      <w:r w:rsidRPr="007E5190">
        <w:rPr>
          <w:rFonts w:ascii="Times New Roman" w:hAnsi="Times New Roman" w:cs="Times New Roman"/>
          <w:color w:val="0D0D0D" w:themeColor="text1" w:themeTint="F2"/>
          <w:sz w:val="24"/>
          <w:szCs w:val="24"/>
        </w:rPr>
        <w:fldChar w:fldCharType="begin"/>
      </w:r>
      <w:r w:rsidRPr="007E5190">
        <w:rPr>
          <w:rFonts w:ascii="Times New Roman" w:hAnsi="Times New Roman" w:cs="Times New Roman"/>
          <w:color w:val="0D0D0D" w:themeColor="text1" w:themeTint="F2"/>
          <w:sz w:val="24"/>
          <w:szCs w:val="24"/>
        </w:rPr>
        <w:instrText xml:space="preserve"> SEQ Table \* ARABIC </w:instrText>
      </w:r>
      <w:r w:rsidRPr="007E5190">
        <w:rPr>
          <w:rFonts w:ascii="Times New Roman" w:hAnsi="Times New Roman" w:cs="Times New Roman"/>
          <w:color w:val="0D0D0D" w:themeColor="text1" w:themeTint="F2"/>
          <w:sz w:val="24"/>
          <w:szCs w:val="24"/>
        </w:rPr>
        <w:fldChar w:fldCharType="separate"/>
      </w:r>
      <w:r w:rsidR="002E56DD" w:rsidRPr="007E5190">
        <w:rPr>
          <w:rFonts w:ascii="Times New Roman" w:hAnsi="Times New Roman" w:cs="Times New Roman"/>
          <w:noProof/>
          <w:color w:val="0D0D0D" w:themeColor="text1" w:themeTint="F2"/>
          <w:sz w:val="24"/>
          <w:szCs w:val="24"/>
        </w:rPr>
        <w:t>6</w:t>
      </w:r>
      <w:r w:rsidRPr="007E5190">
        <w:rPr>
          <w:rFonts w:ascii="Times New Roman" w:hAnsi="Times New Roman" w:cs="Times New Roman"/>
          <w:color w:val="0D0D0D" w:themeColor="text1" w:themeTint="F2"/>
          <w:sz w:val="24"/>
          <w:szCs w:val="24"/>
        </w:rPr>
        <w:fldChar w:fldCharType="end"/>
      </w:r>
      <w:bookmarkEnd w:id="8"/>
      <w:r w:rsidRPr="007E5190">
        <w:rPr>
          <w:rFonts w:ascii="Times New Roman" w:hAnsi="Times New Roman" w:cs="Times New Roman"/>
          <w:color w:val="0D0D0D" w:themeColor="text1" w:themeTint="F2"/>
          <w:sz w:val="24"/>
          <w:szCs w:val="24"/>
        </w:rPr>
        <w:t xml:space="preserve">. Predicted Physicochemical Properties (from </w:t>
      </w:r>
      <w:proofErr w:type="spellStart"/>
      <w:r w:rsidRPr="007E5190">
        <w:rPr>
          <w:rFonts w:ascii="Times New Roman" w:hAnsi="Times New Roman" w:cs="Times New Roman"/>
          <w:color w:val="0D0D0D" w:themeColor="text1" w:themeTint="F2"/>
          <w:sz w:val="24"/>
          <w:szCs w:val="24"/>
        </w:rPr>
        <w:t>SwissADME</w:t>
      </w:r>
      <w:proofErr w:type="spellEnd"/>
      <w:r w:rsidRPr="007E5190">
        <w:rPr>
          <w:rFonts w:ascii="Times New Roman" w:hAnsi="Times New Roman" w:cs="Times New Roman"/>
          <w:color w:val="0D0D0D" w:themeColor="text1" w:themeTint="F2"/>
          <w:sz w:val="24"/>
          <w:szCs w:val="24"/>
        </w:rPr>
        <w:t>)</w:t>
      </w:r>
    </w:p>
    <w:tbl>
      <w:tblPr>
        <w:tblStyle w:val="TableGrid"/>
        <w:tblW w:w="10521"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4"/>
        <w:gridCol w:w="1231"/>
        <w:gridCol w:w="1231"/>
        <w:gridCol w:w="1121"/>
        <w:gridCol w:w="1084"/>
        <w:gridCol w:w="1390"/>
        <w:gridCol w:w="1710"/>
        <w:gridCol w:w="1390"/>
      </w:tblGrid>
      <w:tr w:rsidR="005E631E" w:rsidRPr="007E5190" w14:paraId="3C94519B" w14:textId="77777777" w:rsidTr="006D072F">
        <w:trPr>
          <w:trHeight w:val="576"/>
          <w:tblHeader/>
          <w:jc w:val="center"/>
        </w:trPr>
        <w:tc>
          <w:tcPr>
            <w:tcW w:w="1364" w:type="dxa"/>
            <w:tcBorders>
              <w:top w:val="single" w:sz="4" w:space="0" w:color="auto"/>
              <w:bottom w:val="single" w:sz="4" w:space="0" w:color="auto"/>
            </w:tcBorders>
            <w:vAlign w:val="center"/>
          </w:tcPr>
          <w:p w14:paraId="42CD7534" w14:textId="77777777" w:rsidR="00D34735" w:rsidRPr="007E5190" w:rsidRDefault="00D34735" w:rsidP="00D34735">
            <w:pPr>
              <w:jc w:val="center"/>
              <w:rPr>
                <w:rFonts w:ascii="Times New Roman" w:eastAsia="Times New Roman" w:hAnsi="Times New Roman" w:cs="Times New Roman"/>
                <w:color w:val="0D0D0D" w:themeColor="text1" w:themeTint="F2"/>
                <w:kern w:val="0"/>
                <w14:ligatures w14:val="none"/>
              </w:rPr>
            </w:pPr>
            <w:r w:rsidRPr="007E5190">
              <w:rPr>
                <w:rFonts w:ascii="Times New Roman" w:hAnsi="Times New Roman" w:cs="Times New Roman"/>
                <w:color w:val="0D0D0D" w:themeColor="text1" w:themeTint="F2"/>
              </w:rPr>
              <w:t>Compound ID</w:t>
            </w:r>
          </w:p>
        </w:tc>
        <w:tc>
          <w:tcPr>
            <w:tcW w:w="1231" w:type="dxa"/>
            <w:tcBorders>
              <w:top w:val="single" w:sz="4" w:space="0" w:color="auto"/>
              <w:bottom w:val="single" w:sz="4" w:space="0" w:color="auto"/>
            </w:tcBorders>
            <w:vAlign w:val="center"/>
          </w:tcPr>
          <w:p w14:paraId="5F16345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C </w:t>
            </w:r>
            <w:proofErr w:type="spellStart"/>
            <w:r w:rsidRPr="007E5190">
              <w:rPr>
                <w:rFonts w:ascii="Times New Roman" w:hAnsi="Times New Roman" w:cs="Times New Roman"/>
                <w:color w:val="0D0D0D" w:themeColor="text1" w:themeTint="F2"/>
              </w:rPr>
              <w:t>log</w:t>
            </w:r>
            <w:r w:rsidRPr="007E5190">
              <w:rPr>
                <w:rFonts w:ascii="Times New Roman" w:hAnsi="Times New Roman" w:cs="Times New Roman"/>
                <w:color w:val="0D0D0D" w:themeColor="text1" w:themeTint="F2"/>
                <w:vertAlign w:val="subscript"/>
              </w:rPr>
              <w:t>p</w:t>
            </w:r>
            <w:proofErr w:type="spellEnd"/>
          </w:p>
        </w:tc>
        <w:tc>
          <w:tcPr>
            <w:tcW w:w="1231" w:type="dxa"/>
            <w:tcBorders>
              <w:top w:val="single" w:sz="4" w:space="0" w:color="auto"/>
              <w:bottom w:val="single" w:sz="4" w:space="0" w:color="auto"/>
            </w:tcBorders>
            <w:vAlign w:val="center"/>
          </w:tcPr>
          <w:p w14:paraId="71E2CF6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Mol. Wt. (250 to 500 g/mol)</w:t>
            </w:r>
          </w:p>
        </w:tc>
        <w:tc>
          <w:tcPr>
            <w:tcW w:w="1121" w:type="dxa"/>
            <w:tcBorders>
              <w:top w:val="single" w:sz="4" w:space="0" w:color="auto"/>
              <w:bottom w:val="single" w:sz="4" w:space="0" w:color="auto"/>
            </w:tcBorders>
            <w:vAlign w:val="center"/>
          </w:tcPr>
          <w:p w14:paraId="253AE46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HBD (0-5)</w:t>
            </w:r>
          </w:p>
        </w:tc>
        <w:tc>
          <w:tcPr>
            <w:tcW w:w="1084" w:type="dxa"/>
            <w:tcBorders>
              <w:top w:val="single" w:sz="4" w:space="0" w:color="auto"/>
              <w:bottom w:val="single" w:sz="4" w:space="0" w:color="auto"/>
            </w:tcBorders>
            <w:vAlign w:val="center"/>
          </w:tcPr>
          <w:p w14:paraId="5F5827CA"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HBA (0-10)</w:t>
            </w:r>
          </w:p>
        </w:tc>
        <w:tc>
          <w:tcPr>
            <w:tcW w:w="1390" w:type="dxa"/>
            <w:tcBorders>
              <w:top w:val="single" w:sz="4" w:space="0" w:color="auto"/>
              <w:bottom w:val="single" w:sz="4" w:space="0" w:color="auto"/>
            </w:tcBorders>
            <w:vAlign w:val="center"/>
          </w:tcPr>
          <w:p w14:paraId="53FB665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Rotatable Bonds (&lt;10)</w:t>
            </w:r>
          </w:p>
        </w:tc>
        <w:tc>
          <w:tcPr>
            <w:tcW w:w="1710" w:type="dxa"/>
            <w:tcBorders>
              <w:top w:val="single" w:sz="4" w:space="0" w:color="auto"/>
              <w:bottom w:val="single" w:sz="4" w:space="0" w:color="auto"/>
            </w:tcBorders>
            <w:vAlign w:val="center"/>
          </w:tcPr>
          <w:p w14:paraId="6E912DE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2TPSA (&lt;140 Å)</w:t>
            </w:r>
          </w:p>
        </w:tc>
        <w:tc>
          <w:tcPr>
            <w:tcW w:w="1390" w:type="dxa"/>
            <w:tcBorders>
              <w:top w:val="single" w:sz="4" w:space="0" w:color="auto"/>
              <w:bottom w:val="single" w:sz="4" w:space="0" w:color="auto"/>
            </w:tcBorders>
            <w:vAlign w:val="center"/>
          </w:tcPr>
          <w:p w14:paraId="529A05A0" w14:textId="77777777" w:rsidR="00D34735" w:rsidRPr="007E5190" w:rsidRDefault="00D34735" w:rsidP="00D34735">
            <w:pPr>
              <w:spacing w:line="360" w:lineRule="auto"/>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Solubility</w:t>
            </w:r>
          </w:p>
          <w:p w14:paraId="79D6B2B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(mg/ml)</w:t>
            </w:r>
          </w:p>
        </w:tc>
      </w:tr>
      <w:tr w:rsidR="005E631E" w:rsidRPr="007E5190" w14:paraId="758D2DDE" w14:textId="77777777" w:rsidTr="006D072F">
        <w:trPr>
          <w:trHeight w:val="432"/>
          <w:jc w:val="center"/>
        </w:trPr>
        <w:tc>
          <w:tcPr>
            <w:tcW w:w="1364" w:type="dxa"/>
            <w:tcBorders>
              <w:top w:val="single" w:sz="4" w:space="0" w:color="auto"/>
            </w:tcBorders>
            <w:vAlign w:val="center"/>
          </w:tcPr>
          <w:p w14:paraId="210B89D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73193</w:t>
            </w:r>
          </w:p>
        </w:tc>
        <w:tc>
          <w:tcPr>
            <w:tcW w:w="1231" w:type="dxa"/>
            <w:tcBorders>
              <w:top w:val="single" w:sz="4" w:space="0" w:color="auto"/>
            </w:tcBorders>
            <w:vAlign w:val="center"/>
          </w:tcPr>
          <w:p w14:paraId="52B3D17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4.33</w:t>
            </w:r>
          </w:p>
        </w:tc>
        <w:tc>
          <w:tcPr>
            <w:tcW w:w="1231" w:type="dxa"/>
            <w:tcBorders>
              <w:top w:val="single" w:sz="4" w:space="0" w:color="auto"/>
            </w:tcBorders>
            <w:vAlign w:val="center"/>
          </w:tcPr>
          <w:p w14:paraId="5777FD0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488.7</w:t>
            </w:r>
          </w:p>
        </w:tc>
        <w:tc>
          <w:tcPr>
            <w:tcW w:w="1121" w:type="dxa"/>
            <w:tcBorders>
              <w:top w:val="single" w:sz="4" w:space="0" w:color="auto"/>
            </w:tcBorders>
            <w:vAlign w:val="center"/>
          </w:tcPr>
          <w:p w14:paraId="3132C8D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tcBorders>
              <w:top w:val="single" w:sz="4" w:space="0" w:color="auto"/>
            </w:tcBorders>
            <w:vAlign w:val="center"/>
          </w:tcPr>
          <w:p w14:paraId="04509F8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tcBorders>
              <w:top w:val="single" w:sz="4" w:space="0" w:color="auto"/>
            </w:tcBorders>
            <w:vAlign w:val="center"/>
          </w:tcPr>
          <w:p w14:paraId="2404BE5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tcBorders>
              <w:top w:val="single" w:sz="4" w:space="0" w:color="auto"/>
            </w:tcBorders>
            <w:vAlign w:val="center"/>
          </w:tcPr>
          <w:p w14:paraId="650696D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tcBorders>
              <w:top w:val="single" w:sz="4" w:space="0" w:color="auto"/>
            </w:tcBorders>
            <w:vAlign w:val="center"/>
          </w:tcPr>
          <w:p w14:paraId="48D6DA9A"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5.76E-04</w:t>
            </w:r>
          </w:p>
        </w:tc>
      </w:tr>
      <w:tr w:rsidR="005E631E" w:rsidRPr="007E5190" w14:paraId="57401239" w14:textId="77777777" w:rsidTr="006D072F">
        <w:trPr>
          <w:trHeight w:val="432"/>
          <w:jc w:val="center"/>
        </w:trPr>
        <w:tc>
          <w:tcPr>
            <w:tcW w:w="1364" w:type="dxa"/>
            <w:vAlign w:val="center"/>
          </w:tcPr>
          <w:p w14:paraId="44259B6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490364</w:t>
            </w:r>
          </w:p>
        </w:tc>
        <w:tc>
          <w:tcPr>
            <w:tcW w:w="1231" w:type="dxa"/>
            <w:vAlign w:val="center"/>
          </w:tcPr>
          <w:p w14:paraId="71C6AA48"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4.3</w:t>
            </w:r>
          </w:p>
        </w:tc>
        <w:tc>
          <w:tcPr>
            <w:tcW w:w="1231" w:type="dxa"/>
            <w:vAlign w:val="center"/>
          </w:tcPr>
          <w:p w14:paraId="6D7F8863"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488.7</w:t>
            </w:r>
          </w:p>
        </w:tc>
        <w:tc>
          <w:tcPr>
            <w:tcW w:w="1121" w:type="dxa"/>
            <w:vAlign w:val="center"/>
          </w:tcPr>
          <w:p w14:paraId="50A01E1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vAlign w:val="center"/>
          </w:tcPr>
          <w:p w14:paraId="29AF80B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vAlign w:val="center"/>
          </w:tcPr>
          <w:p w14:paraId="4CE9F24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vAlign w:val="center"/>
          </w:tcPr>
          <w:p w14:paraId="46015D8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vAlign w:val="center"/>
          </w:tcPr>
          <w:p w14:paraId="3D6E9B1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5.76E-04</w:t>
            </w:r>
          </w:p>
        </w:tc>
      </w:tr>
      <w:tr w:rsidR="005E631E" w:rsidRPr="007E5190" w14:paraId="49F5B70A" w14:textId="77777777" w:rsidTr="006D072F">
        <w:trPr>
          <w:trHeight w:val="432"/>
          <w:jc w:val="center"/>
        </w:trPr>
        <w:tc>
          <w:tcPr>
            <w:tcW w:w="1364" w:type="dxa"/>
            <w:vAlign w:val="center"/>
          </w:tcPr>
          <w:p w14:paraId="50080B3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11156036</w:t>
            </w:r>
          </w:p>
        </w:tc>
        <w:tc>
          <w:tcPr>
            <w:tcW w:w="1231" w:type="dxa"/>
            <w:vAlign w:val="center"/>
          </w:tcPr>
          <w:p w14:paraId="5FA430F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4.3</w:t>
            </w:r>
          </w:p>
        </w:tc>
        <w:tc>
          <w:tcPr>
            <w:tcW w:w="1231" w:type="dxa"/>
            <w:vAlign w:val="center"/>
          </w:tcPr>
          <w:p w14:paraId="38F8A0E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488.7</w:t>
            </w:r>
          </w:p>
        </w:tc>
        <w:tc>
          <w:tcPr>
            <w:tcW w:w="1121" w:type="dxa"/>
            <w:vAlign w:val="center"/>
          </w:tcPr>
          <w:p w14:paraId="354241F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vAlign w:val="center"/>
          </w:tcPr>
          <w:p w14:paraId="49EA995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vAlign w:val="center"/>
          </w:tcPr>
          <w:p w14:paraId="4808B5C8"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vAlign w:val="center"/>
          </w:tcPr>
          <w:p w14:paraId="11328F1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vAlign w:val="center"/>
          </w:tcPr>
          <w:p w14:paraId="5BA7A870"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5.76E-04</w:t>
            </w:r>
          </w:p>
        </w:tc>
      </w:tr>
      <w:tr w:rsidR="005E631E" w:rsidRPr="007E5190" w14:paraId="54C503DB" w14:textId="77777777" w:rsidTr="006D072F">
        <w:trPr>
          <w:trHeight w:val="432"/>
          <w:jc w:val="center"/>
        </w:trPr>
        <w:tc>
          <w:tcPr>
            <w:tcW w:w="1364" w:type="dxa"/>
            <w:vAlign w:val="center"/>
          </w:tcPr>
          <w:p w14:paraId="727BD91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lastRenderedPageBreak/>
              <w:t>11705538</w:t>
            </w:r>
          </w:p>
        </w:tc>
        <w:tc>
          <w:tcPr>
            <w:tcW w:w="1231" w:type="dxa"/>
            <w:vAlign w:val="center"/>
          </w:tcPr>
          <w:p w14:paraId="14452F9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3.91</w:t>
            </w:r>
          </w:p>
        </w:tc>
        <w:tc>
          <w:tcPr>
            <w:tcW w:w="1231" w:type="dxa"/>
            <w:vAlign w:val="center"/>
          </w:tcPr>
          <w:p w14:paraId="3D405A1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472.66</w:t>
            </w:r>
          </w:p>
        </w:tc>
        <w:tc>
          <w:tcPr>
            <w:tcW w:w="1121" w:type="dxa"/>
            <w:vAlign w:val="center"/>
          </w:tcPr>
          <w:p w14:paraId="68CD5688"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vAlign w:val="center"/>
          </w:tcPr>
          <w:p w14:paraId="287D9D5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vAlign w:val="center"/>
          </w:tcPr>
          <w:p w14:paraId="760AB938"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vAlign w:val="center"/>
          </w:tcPr>
          <w:p w14:paraId="1470A1A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vAlign w:val="center"/>
          </w:tcPr>
          <w:p w14:paraId="3FF5D3A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3.77E-03</w:t>
            </w:r>
          </w:p>
        </w:tc>
      </w:tr>
      <w:tr w:rsidR="005E631E" w:rsidRPr="007E5190" w14:paraId="32D3FE98" w14:textId="77777777" w:rsidTr="006D072F">
        <w:trPr>
          <w:trHeight w:val="432"/>
          <w:jc w:val="center"/>
        </w:trPr>
        <w:tc>
          <w:tcPr>
            <w:tcW w:w="1364" w:type="dxa"/>
            <w:vAlign w:val="center"/>
          </w:tcPr>
          <w:p w14:paraId="2531DB20"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12067090</w:t>
            </w:r>
          </w:p>
        </w:tc>
        <w:tc>
          <w:tcPr>
            <w:tcW w:w="1231" w:type="dxa"/>
            <w:vAlign w:val="center"/>
          </w:tcPr>
          <w:p w14:paraId="04B02A0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4.08</w:t>
            </w:r>
          </w:p>
        </w:tc>
        <w:tc>
          <w:tcPr>
            <w:tcW w:w="1231" w:type="dxa"/>
            <w:vAlign w:val="center"/>
          </w:tcPr>
          <w:p w14:paraId="7549FCE0"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472.66</w:t>
            </w:r>
          </w:p>
        </w:tc>
        <w:tc>
          <w:tcPr>
            <w:tcW w:w="1121" w:type="dxa"/>
            <w:vAlign w:val="center"/>
          </w:tcPr>
          <w:p w14:paraId="32771A8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vAlign w:val="center"/>
          </w:tcPr>
          <w:p w14:paraId="1E40ADE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vAlign w:val="center"/>
          </w:tcPr>
          <w:p w14:paraId="325BD44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710" w:type="dxa"/>
            <w:vAlign w:val="center"/>
          </w:tcPr>
          <w:p w14:paraId="07EC6AF6"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vAlign w:val="center"/>
          </w:tcPr>
          <w:p w14:paraId="13D022C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1.57E-03</w:t>
            </w:r>
          </w:p>
        </w:tc>
      </w:tr>
      <w:tr w:rsidR="005E631E" w:rsidRPr="007E5190" w14:paraId="231D85A2" w14:textId="77777777" w:rsidTr="006D072F">
        <w:trPr>
          <w:trHeight w:val="432"/>
          <w:jc w:val="center"/>
        </w:trPr>
        <w:tc>
          <w:tcPr>
            <w:tcW w:w="1364" w:type="dxa"/>
            <w:vAlign w:val="center"/>
          </w:tcPr>
          <w:p w14:paraId="09DAEB2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12134775</w:t>
            </w:r>
          </w:p>
        </w:tc>
        <w:tc>
          <w:tcPr>
            <w:tcW w:w="1231" w:type="dxa"/>
            <w:vAlign w:val="center"/>
          </w:tcPr>
          <w:p w14:paraId="2E7D150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4.41</w:t>
            </w:r>
          </w:p>
        </w:tc>
        <w:tc>
          <w:tcPr>
            <w:tcW w:w="1231" w:type="dxa"/>
            <w:vAlign w:val="center"/>
          </w:tcPr>
          <w:p w14:paraId="0F9BCAA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442.63</w:t>
            </w:r>
          </w:p>
        </w:tc>
        <w:tc>
          <w:tcPr>
            <w:tcW w:w="1121" w:type="dxa"/>
            <w:vAlign w:val="center"/>
          </w:tcPr>
          <w:p w14:paraId="66B9B20B"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w:t>
            </w:r>
          </w:p>
        </w:tc>
        <w:tc>
          <w:tcPr>
            <w:tcW w:w="1084" w:type="dxa"/>
            <w:vAlign w:val="center"/>
          </w:tcPr>
          <w:p w14:paraId="7CF0403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390" w:type="dxa"/>
            <w:vAlign w:val="center"/>
          </w:tcPr>
          <w:p w14:paraId="27DD41B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vAlign w:val="center"/>
          </w:tcPr>
          <w:p w14:paraId="6E30114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77.76</w:t>
            </w:r>
          </w:p>
        </w:tc>
        <w:tc>
          <w:tcPr>
            <w:tcW w:w="1390" w:type="dxa"/>
            <w:vAlign w:val="center"/>
          </w:tcPr>
          <w:p w14:paraId="4513C94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2.27E-03</w:t>
            </w:r>
          </w:p>
        </w:tc>
      </w:tr>
      <w:tr w:rsidR="005E631E" w:rsidRPr="007E5190" w14:paraId="1BE540CC" w14:textId="77777777" w:rsidTr="006D072F">
        <w:trPr>
          <w:trHeight w:val="432"/>
          <w:jc w:val="center"/>
        </w:trPr>
        <w:tc>
          <w:tcPr>
            <w:tcW w:w="1364" w:type="dxa"/>
            <w:vAlign w:val="center"/>
          </w:tcPr>
          <w:p w14:paraId="3E9C4D5A"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12442765</w:t>
            </w:r>
          </w:p>
        </w:tc>
        <w:tc>
          <w:tcPr>
            <w:tcW w:w="1231" w:type="dxa"/>
            <w:vAlign w:val="center"/>
          </w:tcPr>
          <w:p w14:paraId="0D5043B3"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4.08</w:t>
            </w:r>
          </w:p>
        </w:tc>
        <w:tc>
          <w:tcPr>
            <w:tcW w:w="1231" w:type="dxa"/>
            <w:vAlign w:val="center"/>
          </w:tcPr>
          <w:p w14:paraId="5B41E0E0"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488.66</w:t>
            </w:r>
          </w:p>
        </w:tc>
        <w:tc>
          <w:tcPr>
            <w:tcW w:w="1121" w:type="dxa"/>
            <w:vAlign w:val="center"/>
          </w:tcPr>
          <w:p w14:paraId="095CC9B8"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vAlign w:val="center"/>
          </w:tcPr>
          <w:p w14:paraId="47B3513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w:t>
            </w:r>
          </w:p>
        </w:tc>
        <w:tc>
          <w:tcPr>
            <w:tcW w:w="1390" w:type="dxa"/>
            <w:vAlign w:val="center"/>
          </w:tcPr>
          <w:p w14:paraId="4540703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710" w:type="dxa"/>
            <w:vAlign w:val="center"/>
          </w:tcPr>
          <w:p w14:paraId="541EE79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115.06</w:t>
            </w:r>
          </w:p>
        </w:tc>
        <w:tc>
          <w:tcPr>
            <w:tcW w:w="1390" w:type="dxa"/>
            <w:vAlign w:val="center"/>
          </w:tcPr>
          <w:p w14:paraId="40A88438"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7.11E-04</w:t>
            </w:r>
          </w:p>
        </w:tc>
      </w:tr>
      <w:tr w:rsidR="005E631E" w:rsidRPr="007E5190" w14:paraId="78D1CE88" w14:textId="77777777" w:rsidTr="006D072F">
        <w:trPr>
          <w:trHeight w:val="432"/>
          <w:jc w:val="center"/>
        </w:trPr>
        <w:tc>
          <w:tcPr>
            <w:tcW w:w="1364" w:type="dxa"/>
            <w:vAlign w:val="center"/>
          </w:tcPr>
          <w:p w14:paraId="44F38D8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44575931</w:t>
            </w:r>
          </w:p>
        </w:tc>
        <w:tc>
          <w:tcPr>
            <w:tcW w:w="1231" w:type="dxa"/>
            <w:vAlign w:val="center"/>
          </w:tcPr>
          <w:p w14:paraId="4E894F7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4.03</w:t>
            </w:r>
          </w:p>
        </w:tc>
        <w:tc>
          <w:tcPr>
            <w:tcW w:w="1231" w:type="dxa"/>
            <w:vAlign w:val="center"/>
          </w:tcPr>
          <w:p w14:paraId="04BA0610"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474.67</w:t>
            </w:r>
          </w:p>
        </w:tc>
        <w:tc>
          <w:tcPr>
            <w:tcW w:w="1121" w:type="dxa"/>
            <w:vAlign w:val="center"/>
          </w:tcPr>
          <w:p w14:paraId="6F873D0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vAlign w:val="center"/>
          </w:tcPr>
          <w:p w14:paraId="323CE546"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vAlign w:val="center"/>
          </w:tcPr>
          <w:p w14:paraId="65347D0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vAlign w:val="center"/>
          </w:tcPr>
          <w:p w14:paraId="29AD642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vAlign w:val="center"/>
          </w:tcPr>
          <w:p w14:paraId="7BE7707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9.96E-04</w:t>
            </w:r>
          </w:p>
        </w:tc>
      </w:tr>
      <w:tr w:rsidR="005E631E" w:rsidRPr="007E5190" w14:paraId="316791CF" w14:textId="77777777" w:rsidTr="006D072F">
        <w:trPr>
          <w:trHeight w:val="432"/>
          <w:jc w:val="center"/>
        </w:trPr>
        <w:tc>
          <w:tcPr>
            <w:tcW w:w="1364" w:type="dxa"/>
            <w:vAlign w:val="center"/>
          </w:tcPr>
          <w:p w14:paraId="23ED20D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53253851</w:t>
            </w:r>
          </w:p>
        </w:tc>
        <w:tc>
          <w:tcPr>
            <w:tcW w:w="1231" w:type="dxa"/>
            <w:vAlign w:val="center"/>
          </w:tcPr>
          <w:p w14:paraId="5B1154BB"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4.29</w:t>
            </w:r>
          </w:p>
        </w:tc>
        <w:tc>
          <w:tcPr>
            <w:tcW w:w="1231" w:type="dxa"/>
            <w:vAlign w:val="center"/>
          </w:tcPr>
          <w:p w14:paraId="42EC8378"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488.7</w:t>
            </w:r>
          </w:p>
        </w:tc>
        <w:tc>
          <w:tcPr>
            <w:tcW w:w="1121" w:type="dxa"/>
            <w:vAlign w:val="center"/>
          </w:tcPr>
          <w:p w14:paraId="067C5DE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vAlign w:val="center"/>
          </w:tcPr>
          <w:p w14:paraId="6C2B091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vAlign w:val="center"/>
          </w:tcPr>
          <w:p w14:paraId="4A08643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vAlign w:val="center"/>
          </w:tcPr>
          <w:p w14:paraId="3EFA4A8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vAlign w:val="center"/>
          </w:tcPr>
          <w:p w14:paraId="2309289B"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7.26E-04</w:t>
            </w:r>
          </w:p>
        </w:tc>
      </w:tr>
      <w:tr w:rsidR="005E631E" w:rsidRPr="007E5190" w14:paraId="102DC40F" w14:textId="77777777" w:rsidTr="006D072F">
        <w:trPr>
          <w:trHeight w:val="432"/>
          <w:jc w:val="center"/>
        </w:trPr>
        <w:tc>
          <w:tcPr>
            <w:tcW w:w="1364" w:type="dxa"/>
            <w:vAlign w:val="center"/>
          </w:tcPr>
          <w:p w14:paraId="6D51815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53822830</w:t>
            </w:r>
          </w:p>
        </w:tc>
        <w:tc>
          <w:tcPr>
            <w:tcW w:w="1231" w:type="dxa"/>
            <w:vAlign w:val="center"/>
          </w:tcPr>
          <w:p w14:paraId="6ADB1FC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4.5</w:t>
            </w:r>
          </w:p>
        </w:tc>
        <w:tc>
          <w:tcPr>
            <w:tcW w:w="1231" w:type="dxa"/>
            <w:vAlign w:val="center"/>
          </w:tcPr>
          <w:p w14:paraId="735FBC6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300.48</w:t>
            </w:r>
          </w:p>
        </w:tc>
        <w:tc>
          <w:tcPr>
            <w:tcW w:w="1121" w:type="dxa"/>
            <w:vAlign w:val="center"/>
          </w:tcPr>
          <w:p w14:paraId="3ACCDAB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084" w:type="dxa"/>
            <w:vAlign w:val="center"/>
          </w:tcPr>
          <w:p w14:paraId="5FF0A4E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390" w:type="dxa"/>
            <w:vAlign w:val="center"/>
          </w:tcPr>
          <w:p w14:paraId="2DF42C9B"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0</w:t>
            </w:r>
          </w:p>
        </w:tc>
        <w:tc>
          <w:tcPr>
            <w:tcW w:w="1710" w:type="dxa"/>
            <w:vAlign w:val="center"/>
          </w:tcPr>
          <w:p w14:paraId="0B60109A"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20.23</w:t>
            </w:r>
          </w:p>
        </w:tc>
        <w:tc>
          <w:tcPr>
            <w:tcW w:w="1390" w:type="dxa"/>
            <w:vAlign w:val="center"/>
          </w:tcPr>
          <w:p w14:paraId="7F6992B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5.63E-03</w:t>
            </w:r>
          </w:p>
        </w:tc>
      </w:tr>
      <w:tr w:rsidR="005E631E" w:rsidRPr="007E5190" w14:paraId="6887E88B" w14:textId="77777777" w:rsidTr="006D072F">
        <w:trPr>
          <w:trHeight w:val="432"/>
          <w:jc w:val="center"/>
        </w:trPr>
        <w:tc>
          <w:tcPr>
            <w:tcW w:w="1364" w:type="dxa"/>
            <w:vAlign w:val="center"/>
          </w:tcPr>
          <w:p w14:paraId="46C71DA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68335034</w:t>
            </w:r>
          </w:p>
        </w:tc>
        <w:tc>
          <w:tcPr>
            <w:tcW w:w="1231" w:type="dxa"/>
            <w:vAlign w:val="center"/>
          </w:tcPr>
          <w:p w14:paraId="5FC8B3C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3.73</w:t>
            </w:r>
          </w:p>
        </w:tc>
        <w:tc>
          <w:tcPr>
            <w:tcW w:w="1231" w:type="dxa"/>
            <w:vAlign w:val="center"/>
          </w:tcPr>
          <w:p w14:paraId="31A6CB8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304.47</w:t>
            </w:r>
          </w:p>
        </w:tc>
        <w:tc>
          <w:tcPr>
            <w:tcW w:w="1121" w:type="dxa"/>
            <w:vAlign w:val="center"/>
          </w:tcPr>
          <w:p w14:paraId="66DA4D1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084" w:type="dxa"/>
            <w:vAlign w:val="center"/>
          </w:tcPr>
          <w:p w14:paraId="5FCC1F6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390" w:type="dxa"/>
            <w:vAlign w:val="center"/>
          </w:tcPr>
          <w:p w14:paraId="34DEA20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0</w:t>
            </w:r>
          </w:p>
        </w:tc>
        <w:tc>
          <w:tcPr>
            <w:tcW w:w="1710" w:type="dxa"/>
            <w:vAlign w:val="center"/>
          </w:tcPr>
          <w:p w14:paraId="5BFA523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40.46</w:t>
            </w:r>
          </w:p>
        </w:tc>
        <w:tc>
          <w:tcPr>
            <w:tcW w:w="1390" w:type="dxa"/>
            <w:vAlign w:val="center"/>
          </w:tcPr>
          <w:p w14:paraId="2D31BF6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1.38E-02</w:t>
            </w:r>
          </w:p>
        </w:tc>
      </w:tr>
      <w:tr w:rsidR="005E631E" w:rsidRPr="007E5190" w14:paraId="4AD55734" w14:textId="77777777" w:rsidTr="006D072F">
        <w:trPr>
          <w:trHeight w:val="432"/>
          <w:jc w:val="center"/>
        </w:trPr>
        <w:tc>
          <w:tcPr>
            <w:tcW w:w="1364" w:type="dxa"/>
            <w:vAlign w:val="center"/>
          </w:tcPr>
          <w:p w14:paraId="40F10373"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70626379</w:t>
            </w:r>
          </w:p>
        </w:tc>
        <w:tc>
          <w:tcPr>
            <w:tcW w:w="1231" w:type="dxa"/>
            <w:vAlign w:val="center"/>
          </w:tcPr>
          <w:p w14:paraId="791E1C4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3.99</w:t>
            </w:r>
          </w:p>
        </w:tc>
        <w:tc>
          <w:tcPr>
            <w:tcW w:w="1231" w:type="dxa"/>
            <w:vAlign w:val="center"/>
          </w:tcPr>
          <w:p w14:paraId="132FD74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318.49</w:t>
            </w:r>
          </w:p>
        </w:tc>
        <w:tc>
          <w:tcPr>
            <w:tcW w:w="1121" w:type="dxa"/>
            <w:vAlign w:val="center"/>
          </w:tcPr>
          <w:p w14:paraId="2D620EC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084" w:type="dxa"/>
            <w:vAlign w:val="center"/>
          </w:tcPr>
          <w:p w14:paraId="25DD3E7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390" w:type="dxa"/>
            <w:vAlign w:val="center"/>
          </w:tcPr>
          <w:p w14:paraId="33B2E740"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vAlign w:val="center"/>
          </w:tcPr>
          <w:p w14:paraId="715E51A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40.46</w:t>
            </w:r>
          </w:p>
        </w:tc>
        <w:tc>
          <w:tcPr>
            <w:tcW w:w="1390" w:type="dxa"/>
            <w:vAlign w:val="center"/>
          </w:tcPr>
          <w:p w14:paraId="4A70220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4.58e-03</w:t>
            </w:r>
          </w:p>
        </w:tc>
      </w:tr>
      <w:tr w:rsidR="005E631E" w:rsidRPr="007E5190" w14:paraId="3E5FE0FC" w14:textId="77777777" w:rsidTr="006D072F">
        <w:trPr>
          <w:trHeight w:val="432"/>
          <w:jc w:val="center"/>
        </w:trPr>
        <w:tc>
          <w:tcPr>
            <w:tcW w:w="1364" w:type="dxa"/>
            <w:vAlign w:val="center"/>
          </w:tcPr>
          <w:p w14:paraId="757F53B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70680338</w:t>
            </w:r>
          </w:p>
        </w:tc>
        <w:tc>
          <w:tcPr>
            <w:tcW w:w="1231" w:type="dxa"/>
            <w:vAlign w:val="center"/>
          </w:tcPr>
          <w:p w14:paraId="30BC381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4.35</w:t>
            </w:r>
          </w:p>
        </w:tc>
        <w:tc>
          <w:tcPr>
            <w:tcW w:w="1231" w:type="dxa"/>
            <w:vAlign w:val="center"/>
          </w:tcPr>
          <w:p w14:paraId="3FC0169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486.68</w:t>
            </w:r>
          </w:p>
        </w:tc>
        <w:tc>
          <w:tcPr>
            <w:tcW w:w="1121" w:type="dxa"/>
            <w:vAlign w:val="center"/>
          </w:tcPr>
          <w:p w14:paraId="472F1843"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vAlign w:val="center"/>
          </w:tcPr>
          <w:p w14:paraId="74C29CC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vAlign w:val="center"/>
          </w:tcPr>
          <w:p w14:paraId="6905615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710" w:type="dxa"/>
            <w:vAlign w:val="center"/>
          </w:tcPr>
          <w:p w14:paraId="0E74724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vAlign w:val="center"/>
          </w:tcPr>
          <w:p w14:paraId="245079D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7.61E-04</w:t>
            </w:r>
          </w:p>
        </w:tc>
      </w:tr>
      <w:tr w:rsidR="005E631E" w:rsidRPr="007E5190" w14:paraId="0A1D7871" w14:textId="77777777" w:rsidTr="006D072F">
        <w:trPr>
          <w:trHeight w:val="432"/>
          <w:jc w:val="center"/>
        </w:trPr>
        <w:tc>
          <w:tcPr>
            <w:tcW w:w="1364" w:type="dxa"/>
            <w:vAlign w:val="center"/>
          </w:tcPr>
          <w:p w14:paraId="7F470B3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70697438</w:t>
            </w:r>
          </w:p>
        </w:tc>
        <w:tc>
          <w:tcPr>
            <w:tcW w:w="1231" w:type="dxa"/>
            <w:vAlign w:val="center"/>
          </w:tcPr>
          <w:p w14:paraId="638758B6"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4.19</w:t>
            </w:r>
          </w:p>
        </w:tc>
        <w:tc>
          <w:tcPr>
            <w:tcW w:w="1231" w:type="dxa"/>
            <w:vAlign w:val="center"/>
          </w:tcPr>
          <w:p w14:paraId="5A631C73"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486.68</w:t>
            </w:r>
          </w:p>
        </w:tc>
        <w:tc>
          <w:tcPr>
            <w:tcW w:w="1121" w:type="dxa"/>
            <w:vAlign w:val="center"/>
          </w:tcPr>
          <w:p w14:paraId="27475BEB"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vAlign w:val="center"/>
          </w:tcPr>
          <w:p w14:paraId="779E0EA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vAlign w:val="center"/>
          </w:tcPr>
          <w:p w14:paraId="05A5E78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710" w:type="dxa"/>
            <w:vAlign w:val="center"/>
          </w:tcPr>
          <w:p w14:paraId="48B0EADB"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vAlign w:val="center"/>
          </w:tcPr>
          <w:p w14:paraId="462EBD3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7.61E-04</w:t>
            </w:r>
          </w:p>
        </w:tc>
      </w:tr>
      <w:tr w:rsidR="005E631E" w:rsidRPr="007E5190" w14:paraId="224297F8" w14:textId="77777777" w:rsidTr="006D072F">
        <w:trPr>
          <w:trHeight w:val="432"/>
          <w:jc w:val="center"/>
        </w:trPr>
        <w:tc>
          <w:tcPr>
            <w:tcW w:w="1364" w:type="dxa"/>
            <w:vAlign w:val="center"/>
          </w:tcPr>
          <w:p w14:paraId="27A246E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89593574</w:t>
            </w:r>
          </w:p>
        </w:tc>
        <w:tc>
          <w:tcPr>
            <w:tcW w:w="1231" w:type="dxa"/>
            <w:vAlign w:val="center"/>
          </w:tcPr>
          <w:p w14:paraId="1786696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3.74</w:t>
            </w:r>
          </w:p>
        </w:tc>
        <w:tc>
          <w:tcPr>
            <w:tcW w:w="1231" w:type="dxa"/>
            <w:vAlign w:val="center"/>
          </w:tcPr>
          <w:p w14:paraId="1A856BD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304.47</w:t>
            </w:r>
          </w:p>
        </w:tc>
        <w:tc>
          <w:tcPr>
            <w:tcW w:w="1121" w:type="dxa"/>
            <w:vAlign w:val="center"/>
          </w:tcPr>
          <w:p w14:paraId="0B8689B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084" w:type="dxa"/>
            <w:vAlign w:val="center"/>
          </w:tcPr>
          <w:p w14:paraId="435D37C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390" w:type="dxa"/>
            <w:vAlign w:val="center"/>
          </w:tcPr>
          <w:p w14:paraId="6A32678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0</w:t>
            </w:r>
          </w:p>
        </w:tc>
        <w:tc>
          <w:tcPr>
            <w:tcW w:w="1710" w:type="dxa"/>
            <w:vAlign w:val="center"/>
          </w:tcPr>
          <w:p w14:paraId="2ABB48EB"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40.46</w:t>
            </w:r>
          </w:p>
        </w:tc>
        <w:tc>
          <w:tcPr>
            <w:tcW w:w="1390" w:type="dxa"/>
            <w:vAlign w:val="center"/>
          </w:tcPr>
          <w:p w14:paraId="6DE917CA"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1.38E-02</w:t>
            </w:r>
          </w:p>
        </w:tc>
      </w:tr>
      <w:tr w:rsidR="005E631E" w:rsidRPr="007E5190" w14:paraId="1CA0224C" w14:textId="77777777" w:rsidTr="006D072F">
        <w:trPr>
          <w:trHeight w:val="432"/>
          <w:jc w:val="center"/>
        </w:trPr>
        <w:tc>
          <w:tcPr>
            <w:tcW w:w="1364" w:type="dxa"/>
            <w:vAlign w:val="center"/>
          </w:tcPr>
          <w:p w14:paraId="6FCCDB0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90450652</w:t>
            </w:r>
          </w:p>
        </w:tc>
        <w:tc>
          <w:tcPr>
            <w:tcW w:w="1231" w:type="dxa"/>
            <w:vAlign w:val="center"/>
          </w:tcPr>
          <w:p w14:paraId="20FBCF3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4.28</w:t>
            </w:r>
          </w:p>
        </w:tc>
        <w:tc>
          <w:tcPr>
            <w:tcW w:w="1231" w:type="dxa"/>
            <w:vAlign w:val="center"/>
          </w:tcPr>
          <w:p w14:paraId="7749875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274.44</w:t>
            </w:r>
          </w:p>
        </w:tc>
        <w:tc>
          <w:tcPr>
            <w:tcW w:w="1121" w:type="dxa"/>
            <w:vAlign w:val="center"/>
          </w:tcPr>
          <w:p w14:paraId="5ADAC37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084" w:type="dxa"/>
            <w:vAlign w:val="center"/>
          </w:tcPr>
          <w:p w14:paraId="15898D9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390" w:type="dxa"/>
            <w:vAlign w:val="center"/>
          </w:tcPr>
          <w:p w14:paraId="5908A54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0</w:t>
            </w:r>
          </w:p>
        </w:tc>
        <w:tc>
          <w:tcPr>
            <w:tcW w:w="1710" w:type="dxa"/>
            <w:vAlign w:val="center"/>
          </w:tcPr>
          <w:p w14:paraId="3BB97813"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20.23</w:t>
            </w:r>
          </w:p>
        </w:tc>
        <w:tc>
          <w:tcPr>
            <w:tcW w:w="1390" w:type="dxa"/>
            <w:vAlign w:val="center"/>
          </w:tcPr>
          <w:p w14:paraId="55403E3A"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6.74E-03</w:t>
            </w:r>
          </w:p>
        </w:tc>
      </w:tr>
      <w:tr w:rsidR="005E631E" w:rsidRPr="007E5190" w14:paraId="7B453CBD" w14:textId="77777777" w:rsidTr="006D072F">
        <w:trPr>
          <w:trHeight w:val="432"/>
          <w:jc w:val="center"/>
        </w:trPr>
        <w:tc>
          <w:tcPr>
            <w:tcW w:w="1364" w:type="dxa"/>
            <w:vAlign w:val="center"/>
          </w:tcPr>
          <w:p w14:paraId="46506E50"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101844542</w:t>
            </w:r>
          </w:p>
        </w:tc>
        <w:tc>
          <w:tcPr>
            <w:tcW w:w="1231" w:type="dxa"/>
            <w:vAlign w:val="center"/>
          </w:tcPr>
          <w:p w14:paraId="16A4CF7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4.01</w:t>
            </w:r>
          </w:p>
        </w:tc>
        <w:tc>
          <w:tcPr>
            <w:tcW w:w="1231" w:type="dxa"/>
            <w:vAlign w:val="center"/>
          </w:tcPr>
          <w:p w14:paraId="4BB7473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472.66</w:t>
            </w:r>
          </w:p>
        </w:tc>
        <w:tc>
          <w:tcPr>
            <w:tcW w:w="1121" w:type="dxa"/>
            <w:vAlign w:val="center"/>
          </w:tcPr>
          <w:p w14:paraId="5133098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vAlign w:val="center"/>
          </w:tcPr>
          <w:p w14:paraId="2E015B0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vAlign w:val="center"/>
          </w:tcPr>
          <w:p w14:paraId="050D22D6"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vAlign w:val="center"/>
          </w:tcPr>
          <w:p w14:paraId="63FE2DA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vAlign w:val="center"/>
          </w:tcPr>
          <w:p w14:paraId="292B400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9.50E-04</w:t>
            </w:r>
          </w:p>
        </w:tc>
      </w:tr>
      <w:tr w:rsidR="005E631E" w:rsidRPr="007E5190" w14:paraId="4735DA15" w14:textId="77777777" w:rsidTr="006D072F">
        <w:trPr>
          <w:trHeight w:val="432"/>
          <w:jc w:val="center"/>
        </w:trPr>
        <w:tc>
          <w:tcPr>
            <w:tcW w:w="1364" w:type="dxa"/>
            <w:tcBorders>
              <w:bottom w:val="nil"/>
            </w:tcBorders>
            <w:vAlign w:val="center"/>
          </w:tcPr>
          <w:p w14:paraId="2A380ED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102408107</w:t>
            </w:r>
          </w:p>
        </w:tc>
        <w:tc>
          <w:tcPr>
            <w:tcW w:w="1231" w:type="dxa"/>
            <w:tcBorders>
              <w:bottom w:val="nil"/>
            </w:tcBorders>
            <w:vAlign w:val="center"/>
          </w:tcPr>
          <w:p w14:paraId="439DB1B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4.03</w:t>
            </w:r>
          </w:p>
        </w:tc>
        <w:tc>
          <w:tcPr>
            <w:tcW w:w="1231" w:type="dxa"/>
            <w:tcBorders>
              <w:bottom w:val="nil"/>
            </w:tcBorders>
            <w:vAlign w:val="center"/>
          </w:tcPr>
          <w:p w14:paraId="13B74CAA"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472.66</w:t>
            </w:r>
          </w:p>
        </w:tc>
        <w:tc>
          <w:tcPr>
            <w:tcW w:w="1121" w:type="dxa"/>
            <w:tcBorders>
              <w:bottom w:val="nil"/>
            </w:tcBorders>
            <w:vAlign w:val="center"/>
          </w:tcPr>
          <w:p w14:paraId="7A04DC6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tcBorders>
              <w:bottom w:val="nil"/>
            </w:tcBorders>
            <w:vAlign w:val="center"/>
          </w:tcPr>
          <w:p w14:paraId="2788B35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tcBorders>
              <w:bottom w:val="nil"/>
            </w:tcBorders>
            <w:vAlign w:val="center"/>
          </w:tcPr>
          <w:p w14:paraId="4255BD2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710" w:type="dxa"/>
            <w:tcBorders>
              <w:bottom w:val="nil"/>
            </w:tcBorders>
            <w:vAlign w:val="center"/>
          </w:tcPr>
          <w:p w14:paraId="6E45FD6B"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tcBorders>
              <w:bottom w:val="nil"/>
            </w:tcBorders>
            <w:vAlign w:val="center"/>
          </w:tcPr>
          <w:p w14:paraId="0E17EEE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1.78E-03</w:t>
            </w:r>
          </w:p>
        </w:tc>
      </w:tr>
      <w:tr w:rsidR="005E631E" w:rsidRPr="007E5190" w14:paraId="3665432A" w14:textId="77777777" w:rsidTr="006D072F">
        <w:trPr>
          <w:trHeight w:val="432"/>
          <w:jc w:val="center"/>
        </w:trPr>
        <w:tc>
          <w:tcPr>
            <w:tcW w:w="1364" w:type="dxa"/>
            <w:tcBorders>
              <w:top w:val="nil"/>
              <w:bottom w:val="nil"/>
              <w:right w:val="nil"/>
            </w:tcBorders>
            <w:vAlign w:val="center"/>
          </w:tcPr>
          <w:p w14:paraId="77FC2540"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118580276</w:t>
            </w:r>
          </w:p>
        </w:tc>
        <w:tc>
          <w:tcPr>
            <w:tcW w:w="1231" w:type="dxa"/>
            <w:tcBorders>
              <w:top w:val="nil"/>
              <w:left w:val="nil"/>
              <w:bottom w:val="nil"/>
              <w:right w:val="nil"/>
            </w:tcBorders>
            <w:vAlign w:val="center"/>
          </w:tcPr>
          <w:p w14:paraId="1F2E0F5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4.26</w:t>
            </w:r>
          </w:p>
        </w:tc>
        <w:tc>
          <w:tcPr>
            <w:tcW w:w="1231" w:type="dxa"/>
            <w:tcBorders>
              <w:top w:val="nil"/>
              <w:left w:val="nil"/>
              <w:bottom w:val="nil"/>
              <w:right w:val="nil"/>
            </w:tcBorders>
            <w:vAlign w:val="center"/>
          </w:tcPr>
          <w:p w14:paraId="450F8FF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274.44</w:t>
            </w:r>
          </w:p>
        </w:tc>
        <w:tc>
          <w:tcPr>
            <w:tcW w:w="1121" w:type="dxa"/>
            <w:tcBorders>
              <w:top w:val="nil"/>
              <w:left w:val="nil"/>
              <w:bottom w:val="nil"/>
              <w:right w:val="nil"/>
            </w:tcBorders>
            <w:vAlign w:val="center"/>
          </w:tcPr>
          <w:p w14:paraId="0113C1C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084" w:type="dxa"/>
            <w:tcBorders>
              <w:top w:val="nil"/>
              <w:left w:val="nil"/>
              <w:bottom w:val="nil"/>
              <w:right w:val="nil"/>
            </w:tcBorders>
            <w:vAlign w:val="center"/>
          </w:tcPr>
          <w:p w14:paraId="6DFD426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390" w:type="dxa"/>
            <w:tcBorders>
              <w:top w:val="nil"/>
              <w:left w:val="nil"/>
              <w:bottom w:val="nil"/>
              <w:right w:val="nil"/>
            </w:tcBorders>
            <w:vAlign w:val="center"/>
          </w:tcPr>
          <w:p w14:paraId="27E9978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0</w:t>
            </w:r>
          </w:p>
        </w:tc>
        <w:tc>
          <w:tcPr>
            <w:tcW w:w="1710" w:type="dxa"/>
            <w:tcBorders>
              <w:top w:val="nil"/>
              <w:left w:val="nil"/>
              <w:bottom w:val="nil"/>
              <w:right w:val="nil"/>
            </w:tcBorders>
            <w:vAlign w:val="center"/>
          </w:tcPr>
          <w:p w14:paraId="4767E6B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20.23</w:t>
            </w:r>
          </w:p>
        </w:tc>
        <w:tc>
          <w:tcPr>
            <w:tcW w:w="1390" w:type="dxa"/>
            <w:tcBorders>
              <w:top w:val="nil"/>
              <w:left w:val="nil"/>
              <w:bottom w:val="nil"/>
            </w:tcBorders>
            <w:vAlign w:val="center"/>
          </w:tcPr>
          <w:p w14:paraId="780A18C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6.74E-03</w:t>
            </w:r>
          </w:p>
        </w:tc>
      </w:tr>
      <w:tr w:rsidR="005E631E" w:rsidRPr="007E5190" w14:paraId="3D2CB1AD" w14:textId="77777777" w:rsidTr="006D072F">
        <w:trPr>
          <w:trHeight w:val="432"/>
          <w:jc w:val="center"/>
        </w:trPr>
        <w:tc>
          <w:tcPr>
            <w:tcW w:w="1364" w:type="dxa"/>
            <w:tcBorders>
              <w:top w:val="nil"/>
              <w:bottom w:val="nil"/>
              <w:right w:val="nil"/>
            </w:tcBorders>
            <w:vAlign w:val="center"/>
          </w:tcPr>
          <w:p w14:paraId="65CE7700" w14:textId="77777777" w:rsidR="00D34735" w:rsidRPr="007E5190" w:rsidRDefault="00D34735" w:rsidP="00D34735">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118580279</w:t>
            </w:r>
          </w:p>
        </w:tc>
        <w:tc>
          <w:tcPr>
            <w:tcW w:w="1231" w:type="dxa"/>
            <w:tcBorders>
              <w:top w:val="nil"/>
              <w:left w:val="nil"/>
              <w:bottom w:val="nil"/>
              <w:right w:val="nil"/>
            </w:tcBorders>
            <w:vAlign w:val="center"/>
          </w:tcPr>
          <w:p w14:paraId="3CB8258C" w14:textId="77777777" w:rsidR="00D34735" w:rsidRPr="007E5190" w:rsidRDefault="00D34735" w:rsidP="00D34735">
            <w:pPr>
              <w:jc w:val="center"/>
              <w:rPr>
                <w:rFonts w:ascii="Times New Roman" w:hAnsi="Times New Roman" w:cs="Times New Roman"/>
                <w:color w:val="0D0D0D" w:themeColor="text1" w:themeTint="F2"/>
                <w:sz w:val="22"/>
                <w:szCs w:val="22"/>
                <w:vertAlign w:val="subscript"/>
              </w:rPr>
            </w:pPr>
            <w:r w:rsidRPr="007E5190">
              <w:rPr>
                <w:rFonts w:ascii="Times New Roman" w:hAnsi="Times New Roman" w:cs="Times New Roman"/>
                <w:color w:val="0D0D0D" w:themeColor="text1" w:themeTint="F2"/>
              </w:rPr>
              <w:t>4.25</w:t>
            </w:r>
          </w:p>
        </w:tc>
        <w:tc>
          <w:tcPr>
            <w:tcW w:w="1231" w:type="dxa"/>
            <w:tcBorders>
              <w:top w:val="nil"/>
              <w:left w:val="nil"/>
              <w:bottom w:val="nil"/>
              <w:right w:val="nil"/>
            </w:tcBorders>
            <w:vAlign w:val="center"/>
          </w:tcPr>
          <w:p w14:paraId="7F8550EF" w14:textId="77777777" w:rsidR="00D34735" w:rsidRPr="007E5190" w:rsidRDefault="00D34735" w:rsidP="00D34735">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rPr>
              <w:t>274.44</w:t>
            </w:r>
          </w:p>
        </w:tc>
        <w:tc>
          <w:tcPr>
            <w:tcW w:w="1121" w:type="dxa"/>
            <w:tcBorders>
              <w:top w:val="nil"/>
              <w:left w:val="nil"/>
              <w:bottom w:val="nil"/>
              <w:right w:val="nil"/>
            </w:tcBorders>
            <w:vAlign w:val="center"/>
          </w:tcPr>
          <w:p w14:paraId="387EE24D" w14:textId="77777777" w:rsidR="00D34735" w:rsidRPr="007E5190" w:rsidRDefault="00D34735" w:rsidP="00D34735">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rPr>
              <w:t>1</w:t>
            </w:r>
          </w:p>
        </w:tc>
        <w:tc>
          <w:tcPr>
            <w:tcW w:w="1084" w:type="dxa"/>
            <w:tcBorders>
              <w:top w:val="nil"/>
              <w:left w:val="nil"/>
              <w:bottom w:val="nil"/>
              <w:right w:val="nil"/>
            </w:tcBorders>
            <w:vAlign w:val="center"/>
          </w:tcPr>
          <w:p w14:paraId="76BC7903" w14:textId="77777777" w:rsidR="00D34735" w:rsidRPr="007E5190" w:rsidRDefault="00D34735" w:rsidP="00D34735">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rPr>
              <w:t>1</w:t>
            </w:r>
          </w:p>
        </w:tc>
        <w:tc>
          <w:tcPr>
            <w:tcW w:w="1390" w:type="dxa"/>
            <w:tcBorders>
              <w:top w:val="nil"/>
              <w:left w:val="nil"/>
              <w:bottom w:val="nil"/>
              <w:right w:val="nil"/>
            </w:tcBorders>
            <w:vAlign w:val="center"/>
          </w:tcPr>
          <w:p w14:paraId="377B6E83" w14:textId="77777777" w:rsidR="00D34735" w:rsidRPr="007E5190" w:rsidRDefault="00D34735" w:rsidP="00D34735">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rPr>
              <w:t>0</w:t>
            </w:r>
          </w:p>
        </w:tc>
        <w:tc>
          <w:tcPr>
            <w:tcW w:w="1710" w:type="dxa"/>
            <w:tcBorders>
              <w:top w:val="nil"/>
              <w:left w:val="nil"/>
              <w:bottom w:val="nil"/>
              <w:right w:val="nil"/>
            </w:tcBorders>
            <w:vAlign w:val="center"/>
          </w:tcPr>
          <w:p w14:paraId="154B6C56" w14:textId="77777777" w:rsidR="00D34735" w:rsidRPr="007E5190" w:rsidRDefault="00D34735" w:rsidP="00D34735">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rPr>
              <w:t>20.23</w:t>
            </w:r>
          </w:p>
        </w:tc>
        <w:tc>
          <w:tcPr>
            <w:tcW w:w="1390" w:type="dxa"/>
            <w:tcBorders>
              <w:top w:val="nil"/>
              <w:left w:val="nil"/>
              <w:bottom w:val="nil"/>
            </w:tcBorders>
            <w:vAlign w:val="center"/>
          </w:tcPr>
          <w:p w14:paraId="0987E36E" w14:textId="77777777" w:rsidR="00D34735" w:rsidRPr="007E5190" w:rsidRDefault="00D34735" w:rsidP="00D34735">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rPr>
              <w:t>6.74E-03</w:t>
            </w:r>
          </w:p>
        </w:tc>
      </w:tr>
      <w:tr w:rsidR="005E631E" w:rsidRPr="007E5190" w14:paraId="7BB8F907" w14:textId="77777777" w:rsidTr="006D072F">
        <w:trPr>
          <w:trHeight w:val="432"/>
          <w:jc w:val="center"/>
        </w:trPr>
        <w:tc>
          <w:tcPr>
            <w:tcW w:w="1364" w:type="dxa"/>
            <w:tcBorders>
              <w:top w:val="nil"/>
              <w:bottom w:val="nil"/>
              <w:right w:val="nil"/>
            </w:tcBorders>
            <w:vAlign w:val="center"/>
          </w:tcPr>
          <w:p w14:paraId="76A914F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137633443</w:t>
            </w:r>
          </w:p>
        </w:tc>
        <w:tc>
          <w:tcPr>
            <w:tcW w:w="1231" w:type="dxa"/>
            <w:tcBorders>
              <w:top w:val="nil"/>
              <w:left w:val="nil"/>
              <w:bottom w:val="nil"/>
              <w:right w:val="nil"/>
            </w:tcBorders>
            <w:vAlign w:val="center"/>
          </w:tcPr>
          <w:p w14:paraId="4F95F66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4.53</w:t>
            </w:r>
          </w:p>
        </w:tc>
        <w:tc>
          <w:tcPr>
            <w:tcW w:w="1231" w:type="dxa"/>
            <w:tcBorders>
              <w:top w:val="nil"/>
              <w:left w:val="nil"/>
              <w:bottom w:val="nil"/>
              <w:right w:val="nil"/>
            </w:tcBorders>
            <w:vAlign w:val="center"/>
          </w:tcPr>
          <w:p w14:paraId="471AFA4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484.67</w:t>
            </w:r>
          </w:p>
        </w:tc>
        <w:tc>
          <w:tcPr>
            <w:tcW w:w="1121" w:type="dxa"/>
            <w:tcBorders>
              <w:top w:val="nil"/>
              <w:left w:val="nil"/>
              <w:bottom w:val="nil"/>
              <w:right w:val="nil"/>
            </w:tcBorders>
            <w:vAlign w:val="center"/>
          </w:tcPr>
          <w:p w14:paraId="7100515A"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084" w:type="dxa"/>
            <w:tcBorders>
              <w:top w:val="nil"/>
              <w:left w:val="nil"/>
              <w:bottom w:val="nil"/>
              <w:right w:val="nil"/>
            </w:tcBorders>
            <w:vAlign w:val="center"/>
          </w:tcPr>
          <w:p w14:paraId="343DE88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tcBorders>
              <w:top w:val="nil"/>
              <w:left w:val="nil"/>
              <w:bottom w:val="nil"/>
              <w:right w:val="nil"/>
            </w:tcBorders>
            <w:vAlign w:val="center"/>
          </w:tcPr>
          <w:p w14:paraId="460F30A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tcBorders>
              <w:top w:val="nil"/>
              <w:left w:val="nil"/>
              <w:bottom w:val="nil"/>
              <w:right w:val="nil"/>
            </w:tcBorders>
            <w:vAlign w:val="center"/>
          </w:tcPr>
          <w:p w14:paraId="4FC96E4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91.67</w:t>
            </w:r>
          </w:p>
        </w:tc>
        <w:tc>
          <w:tcPr>
            <w:tcW w:w="1390" w:type="dxa"/>
            <w:tcBorders>
              <w:top w:val="nil"/>
              <w:left w:val="nil"/>
              <w:bottom w:val="nil"/>
            </w:tcBorders>
            <w:vAlign w:val="center"/>
          </w:tcPr>
          <w:p w14:paraId="7D99435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8.09E-04</w:t>
            </w:r>
          </w:p>
        </w:tc>
      </w:tr>
      <w:tr w:rsidR="005E631E" w:rsidRPr="007E5190" w14:paraId="55CE924A" w14:textId="77777777" w:rsidTr="006D072F">
        <w:trPr>
          <w:trHeight w:val="432"/>
          <w:jc w:val="center"/>
        </w:trPr>
        <w:tc>
          <w:tcPr>
            <w:tcW w:w="1364" w:type="dxa"/>
            <w:tcBorders>
              <w:top w:val="nil"/>
              <w:bottom w:val="nil"/>
              <w:right w:val="nil"/>
            </w:tcBorders>
            <w:vAlign w:val="center"/>
          </w:tcPr>
          <w:p w14:paraId="02368A2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156011190</w:t>
            </w:r>
          </w:p>
        </w:tc>
        <w:tc>
          <w:tcPr>
            <w:tcW w:w="1231" w:type="dxa"/>
            <w:tcBorders>
              <w:top w:val="nil"/>
              <w:left w:val="nil"/>
              <w:bottom w:val="nil"/>
              <w:right w:val="nil"/>
            </w:tcBorders>
            <w:vAlign w:val="center"/>
          </w:tcPr>
          <w:p w14:paraId="015E3FA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4.16</w:t>
            </w:r>
          </w:p>
        </w:tc>
        <w:tc>
          <w:tcPr>
            <w:tcW w:w="1231" w:type="dxa"/>
            <w:tcBorders>
              <w:top w:val="nil"/>
              <w:left w:val="nil"/>
              <w:bottom w:val="nil"/>
              <w:right w:val="nil"/>
            </w:tcBorders>
            <w:vAlign w:val="center"/>
          </w:tcPr>
          <w:p w14:paraId="17BCA278"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484.67</w:t>
            </w:r>
          </w:p>
        </w:tc>
        <w:tc>
          <w:tcPr>
            <w:tcW w:w="1121" w:type="dxa"/>
            <w:tcBorders>
              <w:top w:val="nil"/>
              <w:left w:val="nil"/>
              <w:bottom w:val="nil"/>
              <w:right w:val="nil"/>
            </w:tcBorders>
            <w:vAlign w:val="center"/>
          </w:tcPr>
          <w:p w14:paraId="3AB193E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tcBorders>
              <w:top w:val="nil"/>
              <w:left w:val="nil"/>
              <w:bottom w:val="nil"/>
              <w:right w:val="nil"/>
            </w:tcBorders>
            <w:vAlign w:val="center"/>
          </w:tcPr>
          <w:p w14:paraId="4984DCF8"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tcBorders>
              <w:top w:val="nil"/>
              <w:left w:val="nil"/>
              <w:bottom w:val="nil"/>
              <w:right w:val="nil"/>
            </w:tcBorders>
            <w:vAlign w:val="center"/>
          </w:tcPr>
          <w:p w14:paraId="091DFB6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w:t>
            </w:r>
          </w:p>
        </w:tc>
        <w:tc>
          <w:tcPr>
            <w:tcW w:w="1710" w:type="dxa"/>
            <w:tcBorders>
              <w:top w:val="nil"/>
              <w:left w:val="nil"/>
              <w:bottom w:val="nil"/>
              <w:right w:val="nil"/>
            </w:tcBorders>
            <w:vAlign w:val="center"/>
          </w:tcPr>
          <w:p w14:paraId="5E4241B5"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tcBorders>
              <w:top w:val="nil"/>
              <w:left w:val="nil"/>
              <w:bottom w:val="nil"/>
            </w:tcBorders>
            <w:vAlign w:val="center"/>
          </w:tcPr>
          <w:p w14:paraId="2EDFABC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6.36E-04</w:t>
            </w:r>
          </w:p>
        </w:tc>
      </w:tr>
      <w:tr w:rsidR="005E631E" w:rsidRPr="007E5190" w14:paraId="38AECC47" w14:textId="77777777" w:rsidTr="006D072F">
        <w:trPr>
          <w:trHeight w:val="432"/>
          <w:jc w:val="center"/>
        </w:trPr>
        <w:tc>
          <w:tcPr>
            <w:tcW w:w="1364" w:type="dxa"/>
            <w:tcBorders>
              <w:top w:val="nil"/>
              <w:bottom w:val="nil"/>
              <w:right w:val="nil"/>
            </w:tcBorders>
            <w:vAlign w:val="center"/>
          </w:tcPr>
          <w:p w14:paraId="70CF1146"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162962832</w:t>
            </w:r>
          </w:p>
        </w:tc>
        <w:tc>
          <w:tcPr>
            <w:tcW w:w="1231" w:type="dxa"/>
            <w:tcBorders>
              <w:top w:val="nil"/>
              <w:left w:val="nil"/>
              <w:bottom w:val="nil"/>
              <w:right w:val="nil"/>
            </w:tcBorders>
            <w:vAlign w:val="center"/>
          </w:tcPr>
          <w:p w14:paraId="52D695F3"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4.15</w:t>
            </w:r>
          </w:p>
        </w:tc>
        <w:tc>
          <w:tcPr>
            <w:tcW w:w="1231" w:type="dxa"/>
            <w:tcBorders>
              <w:top w:val="nil"/>
              <w:left w:val="nil"/>
              <w:bottom w:val="nil"/>
              <w:right w:val="nil"/>
            </w:tcBorders>
            <w:vAlign w:val="center"/>
          </w:tcPr>
          <w:p w14:paraId="0D437E4C"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474.67</w:t>
            </w:r>
          </w:p>
        </w:tc>
        <w:tc>
          <w:tcPr>
            <w:tcW w:w="1121" w:type="dxa"/>
            <w:tcBorders>
              <w:top w:val="nil"/>
              <w:left w:val="nil"/>
              <w:bottom w:val="nil"/>
              <w:right w:val="nil"/>
            </w:tcBorders>
            <w:vAlign w:val="center"/>
          </w:tcPr>
          <w:p w14:paraId="7150D61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tcBorders>
              <w:top w:val="nil"/>
              <w:left w:val="nil"/>
              <w:bottom w:val="nil"/>
              <w:right w:val="nil"/>
            </w:tcBorders>
            <w:vAlign w:val="center"/>
          </w:tcPr>
          <w:p w14:paraId="453312B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tcBorders>
              <w:top w:val="nil"/>
              <w:left w:val="nil"/>
              <w:bottom w:val="nil"/>
              <w:right w:val="nil"/>
            </w:tcBorders>
            <w:vAlign w:val="center"/>
          </w:tcPr>
          <w:p w14:paraId="5360E964"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tcBorders>
              <w:top w:val="nil"/>
              <w:left w:val="nil"/>
              <w:bottom w:val="nil"/>
              <w:right w:val="nil"/>
            </w:tcBorders>
            <w:vAlign w:val="center"/>
          </w:tcPr>
          <w:p w14:paraId="47E67A0B"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tcBorders>
              <w:top w:val="nil"/>
              <w:left w:val="nil"/>
              <w:bottom w:val="nil"/>
            </w:tcBorders>
            <w:vAlign w:val="center"/>
          </w:tcPr>
          <w:p w14:paraId="6FE4D43B"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7.56E-04</w:t>
            </w:r>
          </w:p>
        </w:tc>
      </w:tr>
      <w:tr w:rsidR="005E631E" w:rsidRPr="007E5190" w14:paraId="796D3D2E" w14:textId="77777777" w:rsidTr="006D072F">
        <w:trPr>
          <w:trHeight w:val="432"/>
          <w:jc w:val="center"/>
        </w:trPr>
        <w:tc>
          <w:tcPr>
            <w:tcW w:w="1364" w:type="dxa"/>
            <w:tcBorders>
              <w:top w:val="nil"/>
              <w:bottom w:val="nil"/>
              <w:right w:val="nil"/>
            </w:tcBorders>
            <w:vAlign w:val="center"/>
          </w:tcPr>
          <w:p w14:paraId="24DF888D"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163053220</w:t>
            </w:r>
          </w:p>
        </w:tc>
        <w:tc>
          <w:tcPr>
            <w:tcW w:w="1231" w:type="dxa"/>
            <w:tcBorders>
              <w:top w:val="nil"/>
              <w:left w:val="nil"/>
              <w:bottom w:val="nil"/>
              <w:right w:val="nil"/>
            </w:tcBorders>
            <w:vAlign w:val="center"/>
          </w:tcPr>
          <w:p w14:paraId="2E864B03"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4.31</w:t>
            </w:r>
          </w:p>
        </w:tc>
        <w:tc>
          <w:tcPr>
            <w:tcW w:w="1231" w:type="dxa"/>
            <w:tcBorders>
              <w:top w:val="nil"/>
              <w:left w:val="nil"/>
              <w:bottom w:val="nil"/>
              <w:right w:val="nil"/>
            </w:tcBorders>
            <w:vAlign w:val="center"/>
          </w:tcPr>
          <w:p w14:paraId="70F877F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486.68</w:t>
            </w:r>
          </w:p>
        </w:tc>
        <w:tc>
          <w:tcPr>
            <w:tcW w:w="1121" w:type="dxa"/>
            <w:tcBorders>
              <w:top w:val="nil"/>
              <w:left w:val="nil"/>
              <w:bottom w:val="nil"/>
              <w:right w:val="nil"/>
            </w:tcBorders>
            <w:vAlign w:val="center"/>
          </w:tcPr>
          <w:p w14:paraId="07205D8A"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084" w:type="dxa"/>
            <w:tcBorders>
              <w:top w:val="nil"/>
              <w:left w:val="nil"/>
              <w:bottom w:val="nil"/>
              <w:right w:val="nil"/>
            </w:tcBorders>
            <w:vAlign w:val="center"/>
          </w:tcPr>
          <w:p w14:paraId="7FB119D2"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w:t>
            </w:r>
          </w:p>
        </w:tc>
        <w:tc>
          <w:tcPr>
            <w:tcW w:w="1390" w:type="dxa"/>
            <w:tcBorders>
              <w:top w:val="nil"/>
              <w:left w:val="nil"/>
              <w:bottom w:val="nil"/>
              <w:right w:val="nil"/>
            </w:tcBorders>
            <w:vAlign w:val="center"/>
          </w:tcPr>
          <w:p w14:paraId="48389150"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w:t>
            </w:r>
          </w:p>
        </w:tc>
        <w:tc>
          <w:tcPr>
            <w:tcW w:w="1710" w:type="dxa"/>
            <w:tcBorders>
              <w:top w:val="nil"/>
              <w:left w:val="nil"/>
              <w:bottom w:val="nil"/>
              <w:right w:val="nil"/>
            </w:tcBorders>
            <w:vAlign w:val="center"/>
          </w:tcPr>
          <w:p w14:paraId="3D2B8600"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97.99</w:t>
            </w:r>
          </w:p>
        </w:tc>
        <w:tc>
          <w:tcPr>
            <w:tcW w:w="1390" w:type="dxa"/>
            <w:tcBorders>
              <w:top w:val="nil"/>
              <w:left w:val="nil"/>
              <w:bottom w:val="nil"/>
            </w:tcBorders>
            <w:vAlign w:val="center"/>
          </w:tcPr>
          <w:p w14:paraId="49C082F8"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6.82E-04</w:t>
            </w:r>
          </w:p>
        </w:tc>
      </w:tr>
      <w:tr w:rsidR="00635559" w:rsidRPr="007E5190" w14:paraId="3D3F3DC7" w14:textId="77777777" w:rsidTr="006D072F">
        <w:trPr>
          <w:trHeight w:val="432"/>
          <w:jc w:val="center"/>
        </w:trPr>
        <w:tc>
          <w:tcPr>
            <w:tcW w:w="1364" w:type="dxa"/>
            <w:tcBorders>
              <w:top w:val="nil"/>
            </w:tcBorders>
            <w:vAlign w:val="center"/>
          </w:tcPr>
          <w:p w14:paraId="6ED10CC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168296925</w:t>
            </w:r>
          </w:p>
        </w:tc>
        <w:tc>
          <w:tcPr>
            <w:tcW w:w="1231" w:type="dxa"/>
            <w:tcBorders>
              <w:top w:val="nil"/>
            </w:tcBorders>
            <w:vAlign w:val="center"/>
          </w:tcPr>
          <w:p w14:paraId="64E47D9E"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2.5</w:t>
            </w:r>
          </w:p>
        </w:tc>
        <w:tc>
          <w:tcPr>
            <w:tcW w:w="1231" w:type="dxa"/>
            <w:tcBorders>
              <w:top w:val="nil"/>
            </w:tcBorders>
            <w:vAlign w:val="center"/>
          </w:tcPr>
          <w:p w14:paraId="2CB4075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328.32</w:t>
            </w:r>
          </w:p>
        </w:tc>
        <w:tc>
          <w:tcPr>
            <w:tcW w:w="1121" w:type="dxa"/>
            <w:tcBorders>
              <w:top w:val="nil"/>
            </w:tcBorders>
            <w:vAlign w:val="center"/>
          </w:tcPr>
          <w:p w14:paraId="11897E01"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3</w:t>
            </w:r>
          </w:p>
        </w:tc>
        <w:tc>
          <w:tcPr>
            <w:tcW w:w="1084" w:type="dxa"/>
            <w:tcBorders>
              <w:top w:val="nil"/>
            </w:tcBorders>
            <w:vAlign w:val="center"/>
          </w:tcPr>
          <w:p w14:paraId="62B39C17"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6</w:t>
            </w:r>
          </w:p>
        </w:tc>
        <w:tc>
          <w:tcPr>
            <w:tcW w:w="1390" w:type="dxa"/>
            <w:tcBorders>
              <w:top w:val="nil"/>
            </w:tcBorders>
            <w:vAlign w:val="center"/>
          </w:tcPr>
          <w:p w14:paraId="1F78133F"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4</w:t>
            </w:r>
          </w:p>
        </w:tc>
        <w:tc>
          <w:tcPr>
            <w:tcW w:w="1710" w:type="dxa"/>
            <w:tcBorders>
              <w:top w:val="nil"/>
            </w:tcBorders>
            <w:vAlign w:val="center"/>
          </w:tcPr>
          <w:p w14:paraId="5C871926"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100.13</w:t>
            </w:r>
          </w:p>
        </w:tc>
        <w:tc>
          <w:tcPr>
            <w:tcW w:w="1390" w:type="dxa"/>
            <w:tcBorders>
              <w:top w:val="nil"/>
            </w:tcBorders>
            <w:vAlign w:val="center"/>
          </w:tcPr>
          <w:p w14:paraId="45DCA8A9" w14:textId="77777777" w:rsidR="00D34735" w:rsidRPr="007E5190" w:rsidRDefault="00D34735" w:rsidP="00D34735">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2.38E-02</w:t>
            </w:r>
          </w:p>
        </w:tc>
      </w:tr>
    </w:tbl>
    <w:p w14:paraId="6221BB72" w14:textId="77777777" w:rsidR="00374B74" w:rsidRPr="007E5190" w:rsidRDefault="00374B74" w:rsidP="00D75BEE">
      <w:pPr>
        <w:jc w:val="both"/>
        <w:rPr>
          <w:rFonts w:ascii="Times New Roman" w:hAnsi="Times New Roman" w:cs="Times New Roman"/>
          <w:color w:val="0D0D0D" w:themeColor="text1" w:themeTint="F2"/>
        </w:rPr>
      </w:pPr>
    </w:p>
    <w:p w14:paraId="55393FA8" w14:textId="7BA1100F"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physicochemical properties of the top hits are summarized in </w:t>
      </w:r>
      <w:r w:rsidR="007A12BF" w:rsidRPr="007E5190">
        <w:rPr>
          <w:rFonts w:ascii="Times New Roman" w:hAnsi="Times New Roman" w:cs="Times New Roman"/>
          <w:color w:val="4472C4" w:themeColor="accent1"/>
        </w:rPr>
        <w:fldChar w:fldCharType="begin"/>
      </w:r>
      <w:r w:rsidR="007A12BF" w:rsidRPr="007E5190">
        <w:rPr>
          <w:rFonts w:ascii="Times New Roman" w:hAnsi="Times New Roman" w:cs="Times New Roman"/>
          <w:color w:val="4472C4" w:themeColor="accent1"/>
        </w:rPr>
        <w:instrText xml:space="preserve"> REF _Ref213060948 \h </w:instrText>
      </w:r>
      <w:r w:rsidR="00EF7F63" w:rsidRPr="007E5190">
        <w:rPr>
          <w:rFonts w:ascii="Times New Roman" w:hAnsi="Times New Roman" w:cs="Times New Roman"/>
          <w:color w:val="4472C4" w:themeColor="accent1"/>
        </w:rPr>
        <w:instrText xml:space="preserve"> \* MERGEFORMAT </w:instrText>
      </w:r>
      <w:r w:rsidR="007A12BF" w:rsidRPr="007E5190">
        <w:rPr>
          <w:rFonts w:ascii="Times New Roman" w:hAnsi="Times New Roman" w:cs="Times New Roman"/>
          <w:color w:val="4472C4" w:themeColor="accent1"/>
        </w:rPr>
      </w:r>
      <w:r w:rsidR="007A12BF" w:rsidRPr="007E5190">
        <w:rPr>
          <w:rFonts w:ascii="Times New Roman" w:hAnsi="Times New Roman" w:cs="Times New Roman"/>
          <w:color w:val="4472C4" w:themeColor="accent1"/>
        </w:rPr>
        <w:fldChar w:fldCharType="separate"/>
      </w:r>
      <w:r w:rsidR="007A12BF" w:rsidRPr="007E5190">
        <w:rPr>
          <w:rFonts w:ascii="Times New Roman" w:hAnsi="Times New Roman" w:cs="Times New Roman"/>
          <w:color w:val="4472C4" w:themeColor="accent1"/>
        </w:rPr>
        <w:t xml:space="preserve">Table </w:t>
      </w:r>
      <w:r w:rsidR="007A12BF" w:rsidRPr="007E5190">
        <w:rPr>
          <w:rFonts w:ascii="Times New Roman" w:hAnsi="Times New Roman" w:cs="Times New Roman"/>
          <w:noProof/>
          <w:color w:val="4472C4" w:themeColor="accent1"/>
        </w:rPr>
        <w:t>6</w:t>
      </w:r>
      <w:r w:rsidR="007A12BF" w:rsidRPr="007E5190">
        <w:rPr>
          <w:rFonts w:ascii="Times New Roman" w:hAnsi="Times New Roman" w:cs="Times New Roman"/>
          <w:color w:val="4472C4" w:themeColor="accent1"/>
        </w:rPr>
        <w:fldChar w:fldCharType="end"/>
      </w:r>
      <w:r w:rsidR="003F3DD9" w:rsidRPr="007E5190">
        <w:rPr>
          <w:rFonts w:ascii="Times New Roman" w:hAnsi="Times New Roman" w:cs="Times New Roman"/>
          <w:color w:val="0D0D0D" w:themeColor="text1" w:themeTint="F2"/>
        </w:rPr>
        <w:t>.</w:t>
      </w:r>
      <w:r w:rsidRPr="007E5190">
        <w:rPr>
          <w:rFonts w:ascii="Times New Roman" w:hAnsi="Times New Roman" w:cs="Times New Roman"/>
          <w:color w:val="0D0D0D" w:themeColor="text1" w:themeTint="F2"/>
        </w:rPr>
        <w:t xml:space="preserve"> The compounds were found to be in favorable ranges, with molecular weights between 274.44 and 488.7 g/mol and </w:t>
      </w:r>
      <w:proofErr w:type="spellStart"/>
      <w:r w:rsidRPr="007E5190">
        <w:rPr>
          <w:rFonts w:ascii="Times New Roman" w:hAnsi="Times New Roman" w:cs="Times New Roman"/>
          <w:color w:val="0D0D0D" w:themeColor="text1" w:themeTint="F2"/>
        </w:rPr>
        <w:t>ClogP</w:t>
      </w:r>
      <w:proofErr w:type="spellEnd"/>
      <w:r w:rsidRPr="007E5190">
        <w:rPr>
          <w:rFonts w:ascii="Times New Roman" w:hAnsi="Times New Roman" w:cs="Times New Roman"/>
          <w:color w:val="0D0D0D" w:themeColor="text1" w:themeTint="F2"/>
        </w:rPr>
        <w:t xml:space="preserve"> values generally between 2.5 and 4.53. All lead compounds showed full compliance with Lipinski's Rule of Five</w:t>
      </w:r>
      <w:r w:rsidR="007A12BF" w:rsidRPr="007E5190">
        <w:rPr>
          <w:rFonts w:ascii="Times New Roman" w:hAnsi="Times New Roman" w:cs="Times New Roman"/>
          <w:color w:val="0D0D0D" w:themeColor="text1" w:themeTint="F2"/>
        </w:rPr>
        <w:t>.</w:t>
      </w:r>
    </w:p>
    <w:p w14:paraId="09EA070A" w14:textId="48B3A220" w:rsidR="005C661E" w:rsidRPr="007E5190" w:rsidRDefault="005C661E" w:rsidP="005C661E">
      <w:pPr>
        <w:pStyle w:val="Caption"/>
        <w:keepNext/>
        <w:rPr>
          <w:rFonts w:ascii="Times New Roman" w:hAnsi="Times New Roman" w:cs="Times New Roman"/>
          <w:color w:val="0D0D0D" w:themeColor="text1" w:themeTint="F2"/>
          <w:sz w:val="24"/>
          <w:szCs w:val="24"/>
        </w:rPr>
      </w:pPr>
      <w:bookmarkStart w:id="9" w:name="_Ref213061024"/>
      <w:r w:rsidRPr="007E5190">
        <w:rPr>
          <w:rFonts w:ascii="Times New Roman" w:hAnsi="Times New Roman" w:cs="Times New Roman"/>
          <w:color w:val="0D0D0D" w:themeColor="text1" w:themeTint="F2"/>
          <w:sz w:val="24"/>
          <w:szCs w:val="24"/>
        </w:rPr>
        <w:lastRenderedPageBreak/>
        <w:t xml:space="preserve">Table </w:t>
      </w:r>
      <w:r w:rsidRPr="007E5190">
        <w:rPr>
          <w:rFonts w:ascii="Times New Roman" w:hAnsi="Times New Roman" w:cs="Times New Roman"/>
          <w:color w:val="0D0D0D" w:themeColor="text1" w:themeTint="F2"/>
          <w:sz w:val="24"/>
          <w:szCs w:val="24"/>
        </w:rPr>
        <w:fldChar w:fldCharType="begin"/>
      </w:r>
      <w:r w:rsidRPr="007E5190">
        <w:rPr>
          <w:rFonts w:ascii="Times New Roman" w:hAnsi="Times New Roman" w:cs="Times New Roman"/>
          <w:color w:val="0D0D0D" w:themeColor="text1" w:themeTint="F2"/>
          <w:sz w:val="24"/>
          <w:szCs w:val="24"/>
        </w:rPr>
        <w:instrText xml:space="preserve"> SEQ Table \* ARABIC </w:instrText>
      </w:r>
      <w:r w:rsidRPr="007E5190">
        <w:rPr>
          <w:rFonts w:ascii="Times New Roman" w:hAnsi="Times New Roman" w:cs="Times New Roman"/>
          <w:color w:val="0D0D0D" w:themeColor="text1" w:themeTint="F2"/>
          <w:sz w:val="24"/>
          <w:szCs w:val="24"/>
        </w:rPr>
        <w:fldChar w:fldCharType="separate"/>
      </w:r>
      <w:r w:rsidR="002E56DD" w:rsidRPr="007E5190">
        <w:rPr>
          <w:rFonts w:ascii="Times New Roman" w:hAnsi="Times New Roman" w:cs="Times New Roman"/>
          <w:noProof/>
          <w:color w:val="0D0D0D" w:themeColor="text1" w:themeTint="F2"/>
          <w:sz w:val="24"/>
          <w:szCs w:val="24"/>
        </w:rPr>
        <w:t>7</w:t>
      </w:r>
      <w:r w:rsidRPr="007E5190">
        <w:rPr>
          <w:rFonts w:ascii="Times New Roman" w:hAnsi="Times New Roman" w:cs="Times New Roman"/>
          <w:color w:val="0D0D0D" w:themeColor="text1" w:themeTint="F2"/>
          <w:sz w:val="24"/>
          <w:szCs w:val="24"/>
        </w:rPr>
        <w:fldChar w:fldCharType="end"/>
      </w:r>
      <w:bookmarkEnd w:id="9"/>
      <w:r w:rsidRPr="007E5190">
        <w:rPr>
          <w:rFonts w:ascii="Times New Roman" w:hAnsi="Times New Roman" w:cs="Times New Roman"/>
          <w:color w:val="0D0D0D" w:themeColor="text1" w:themeTint="F2"/>
          <w:sz w:val="24"/>
          <w:szCs w:val="24"/>
        </w:rPr>
        <w:t xml:space="preserve">. Predicted Pharmacokinetic (ADMET) Properties (from </w:t>
      </w:r>
      <w:proofErr w:type="spellStart"/>
      <w:r w:rsidRPr="007E5190">
        <w:rPr>
          <w:rFonts w:ascii="Times New Roman" w:hAnsi="Times New Roman" w:cs="Times New Roman"/>
          <w:color w:val="0D0D0D" w:themeColor="text1" w:themeTint="F2"/>
          <w:sz w:val="24"/>
          <w:szCs w:val="24"/>
        </w:rPr>
        <w:t>SwissADME</w:t>
      </w:r>
      <w:proofErr w:type="spellEnd"/>
      <w:r w:rsidRPr="007E5190">
        <w:rPr>
          <w:rFonts w:ascii="Times New Roman" w:hAnsi="Times New Roman" w:cs="Times New Roman"/>
          <w:color w:val="0D0D0D" w:themeColor="text1" w:themeTint="F2"/>
          <w:sz w:val="24"/>
          <w:szCs w:val="24"/>
        </w:rPr>
        <w:t>)</w:t>
      </w:r>
    </w:p>
    <w:tbl>
      <w:tblPr>
        <w:tblStyle w:val="TableGrid"/>
        <w:tblW w:w="0" w:type="auto"/>
        <w:jc w:val="center"/>
        <w:tblLayout w:type="fixed"/>
        <w:tblLook w:val="04A0" w:firstRow="1" w:lastRow="0" w:firstColumn="1" w:lastColumn="0" w:noHBand="0" w:noVBand="1"/>
      </w:tblPr>
      <w:tblGrid>
        <w:gridCol w:w="1364"/>
        <w:gridCol w:w="1231"/>
        <w:gridCol w:w="1231"/>
        <w:gridCol w:w="1121"/>
        <w:gridCol w:w="1084"/>
        <w:gridCol w:w="1390"/>
        <w:gridCol w:w="1710"/>
        <w:gridCol w:w="1390"/>
      </w:tblGrid>
      <w:tr w:rsidR="005E631E" w:rsidRPr="007E5190" w14:paraId="3F14B6B0" w14:textId="77777777" w:rsidTr="005D0C61">
        <w:trPr>
          <w:trHeight w:val="576"/>
          <w:tblHeader/>
          <w:jc w:val="center"/>
        </w:trPr>
        <w:tc>
          <w:tcPr>
            <w:tcW w:w="1364" w:type="dxa"/>
            <w:tcBorders>
              <w:left w:val="nil"/>
              <w:bottom w:val="single" w:sz="4" w:space="0" w:color="auto"/>
              <w:right w:val="nil"/>
            </w:tcBorders>
            <w:vAlign w:val="center"/>
          </w:tcPr>
          <w:p w14:paraId="7BDAA602" w14:textId="77777777" w:rsidR="002D623D" w:rsidRPr="007E5190" w:rsidRDefault="002D623D" w:rsidP="002D623D">
            <w:pPr>
              <w:jc w:val="center"/>
              <w:rPr>
                <w:rFonts w:ascii="Times New Roman" w:eastAsia="Times New Roman" w:hAnsi="Times New Roman" w:cs="Times New Roman"/>
                <w:color w:val="0D0D0D" w:themeColor="text1" w:themeTint="F2"/>
                <w:kern w:val="0"/>
                <w14:ligatures w14:val="none"/>
              </w:rPr>
            </w:pPr>
            <w:r w:rsidRPr="007E5190">
              <w:rPr>
                <w:rFonts w:ascii="Times New Roman" w:hAnsi="Times New Roman" w:cs="Times New Roman"/>
                <w:color w:val="0D0D0D" w:themeColor="text1" w:themeTint="F2"/>
              </w:rPr>
              <w:t>Compound ID</w:t>
            </w:r>
          </w:p>
        </w:tc>
        <w:tc>
          <w:tcPr>
            <w:tcW w:w="1231" w:type="dxa"/>
            <w:tcBorders>
              <w:left w:val="nil"/>
              <w:bottom w:val="single" w:sz="4" w:space="0" w:color="auto"/>
              <w:right w:val="nil"/>
            </w:tcBorders>
            <w:vAlign w:val="center"/>
          </w:tcPr>
          <w:p w14:paraId="0E1F950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Formula</w:t>
            </w:r>
          </w:p>
        </w:tc>
        <w:tc>
          <w:tcPr>
            <w:tcW w:w="1231" w:type="dxa"/>
            <w:tcBorders>
              <w:left w:val="nil"/>
              <w:bottom w:val="single" w:sz="4" w:space="0" w:color="auto"/>
              <w:right w:val="nil"/>
            </w:tcBorders>
            <w:vAlign w:val="center"/>
          </w:tcPr>
          <w:p w14:paraId="6CA4585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GI absorption</w:t>
            </w:r>
          </w:p>
        </w:tc>
        <w:tc>
          <w:tcPr>
            <w:tcW w:w="1121" w:type="dxa"/>
            <w:tcBorders>
              <w:left w:val="nil"/>
              <w:bottom w:val="single" w:sz="4" w:space="0" w:color="auto"/>
              <w:right w:val="nil"/>
            </w:tcBorders>
            <w:vAlign w:val="center"/>
          </w:tcPr>
          <w:p w14:paraId="77DE3A6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BBB permeant</w:t>
            </w:r>
          </w:p>
        </w:tc>
        <w:tc>
          <w:tcPr>
            <w:tcW w:w="1084" w:type="dxa"/>
            <w:tcBorders>
              <w:left w:val="nil"/>
              <w:bottom w:val="single" w:sz="4" w:space="0" w:color="auto"/>
              <w:right w:val="nil"/>
            </w:tcBorders>
            <w:vAlign w:val="center"/>
          </w:tcPr>
          <w:p w14:paraId="23727262" w14:textId="77777777" w:rsidR="002D623D" w:rsidRPr="007E5190" w:rsidRDefault="002D623D" w:rsidP="002D623D">
            <w:pPr>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sz w:val="22"/>
                <w:szCs w:val="22"/>
              </w:rPr>
              <w:t>Pgp</w:t>
            </w:r>
            <w:proofErr w:type="spellEnd"/>
            <w:r w:rsidRPr="007E5190">
              <w:rPr>
                <w:rFonts w:ascii="Times New Roman" w:hAnsi="Times New Roman" w:cs="Times New Roman"/>
                <w:color w:val="0D0D0D" w:themeColor="text1" w:themeTint="F2"/>
                <w:sz w:val="22"/>
                <w:szCs w:val="22"/>
              </w:rPr>
              <w:t xml:space="preserve"> substrate</w:t>
            </w:r>
          </w:p>
        </w:tc>
        <w:tc>
          <w:tcPr>
            <w:tcW w:w="1390" w:type="dxa"/>
            <w:tcBorders>
              <w:left w:val="nil"/>
              <w:bottom w:val="single" w:sz="4" w:space="0" w:color="auto"/>
              <w:right w:val="nil"/>
            </w:tcBorders>
            <w:vAlign w:val="center"/>
          </w:tcPr>
          <w:p w14:paraId="789AD6A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Skin permeation</w:t>
            </w:r>
          </w:p>
        </w:tc>
        <w:tc>
          <w:tcPr>
            <w:tcW w:w="1710" w:type="dxa"/>
            <w:tcBorders>
              <w:left w:val="nil"/>
              <w:bottom w:val="single" w:sz="4" w:space="0" w:color="auto"/>
              <w:right w:val="nil"/>
            </w:tcBorders>
            <w:vAlign w:val="center"/>
          </w:tcPr>
          <w:p w14:paraId="672A396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Bioavailability</w:t>
            </w:r>
          </w:p>
        </w:tc>
        <w:tc>
          <w:tcPr>
            <w:tcW w:w="1390" w:type="dxa"/>
            <w:tcBorders>
              <w:left w:val="nil"/>
              <w:bottom w:val="single" w:sz="4" w:space="0" w:color="auto"/>
              <w:right w:val="nil"/>
            </w:tcBorders>
            <w:vAlign w:val="center"/>
          </w:tcPr>
          <w:p w14:paraId="59E847B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Synthetic Accessibility</w:t>
            </w:r>
          </w:p>
        </w:tc>
      </w:tr>
      <w:tr w:rsidR="005E631E" w:rsidRPr="007E5190" w14:paraId="072146F3" w14:textId="77777777" w:rsidTr="005D0C61">
        <w:trPr>
          <w:trHeight w:val="432"/>
          <w:jc w:val="center"/>
        </w:trPr>
        <w:tc>
          <w:tcPr>
            <w:tcW w:w="1364" w:type="dxa"/>
            <w:tcBorders>
              <w:left w:val="nil"/>
              <w:bottom w:val="nil"/>
              <w:right w:val="nil"/>
            </w:tcBorders>
            <w:vAlign w:val="center"/>
          </w:tcPr>
          <w:p w14:paraId="18B14B0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73193</w:t>
            </w:r>
          </w:p>
        </w:tc>
        <w:tc>
          <w:tcPr>
            <w:tcW w:w="1231" w:type="dxa"/>
            <w:tcBorders>
              <w:left w:val="nil"/>
              <w:bottom w:val="nil"/>
              <w:right w:val="nil"/>
            </w:tcBorders>
            <w:vAlign w:val="center"/>
          </w:tcPr>
          <w:p w14:paraId="649894F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48</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left w:val="nil"/>
              <w:bottom w:val="nil"/>
              <w:right w:val="nil"/>
            </w:tcBorders>
            <w:vAlign w:val="center"/>
          </w:tcPr>
          <w:p w14:paraId="4C9711B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left w:val="nil"/>
              <w:bottom w:val="nil"/>
              <w:right w:val="nil"/>
            </w:tcBorders>
            <w:vAlign w:val="center"/>
          </w:tcPr>
          <w:p w14:paraId="5A8F2804"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left w:val="nil"/>
              <w:bottom w:val="nil"/>
              <w:right w:val="nil"/>
            </w:tcBorders>
            <w:vAlign w:val="center"/>
          </w:tcPr>
          <w:p w14:paraId="40FF046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left w:val="nil"/>
              <w:bottom w:val="nil"/>
              <w:right w:val="nil"/>
            </w:tcBorders>
            <w:vAlign w:val="center"/>
          </w:tcPr>
          <w:p w14:paraId="1259EE2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-5.76</w:t>
            </w:r>
          </w:p>
        </w:tc>
        <w:tc>
          <w:tcPr>
            <w:tcW w:w="1710" w:type="dxa"/>
            <w:tcBorders>
              <w:left w:val="nil"/>
              <w:bottom w:val="nil"/>
              <w:right w:val="nil"/>
            </w:tcBorders>
            <w:vAlign w:val="center"/>
          </w:tcPr>
          <w:p w14:paraId="1F11B06C"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left w:val="nil"/>
              <w:bottom w:val="nil"/>
              <w:right w:val="nil"/>
            </w:tcBorders>
            <w:vAlign w:val="center"/>
          </w:tcPr>
          <w:p w14:paraId="04A9F4C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6.59</w:t>
            </w:r>
          </w:p>
        </w:tc>
      </w:tr>
      <w:tr w:rsidR="005E631E" w:rsidRPr="007E5190" w14:paraId="43B5F48D" w14:textId="77777777" w:rsidTr="005D0C61">
        <w:trPr>
          <w:trHeight w:val="432"/>
          <w:jc w:val="center"/>
        </w:trPr>
        <w:tc>
          <w:tcPr>
            <w:tcW w:w="1364" w:type="dxa"/>
            <w:tcBorders>
              <w:top w:val="nil"/>
              <w:left w:val="nil"/>
              <w:bottom w:val="nil"/>
              <w:right w:val="nil"/>
            </w:tcBorders>
            <w:vAlign w:val="center"/>
          </w:tcPr>
          <w:p w14:paraId="22AB900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490364</w:t>
            </w:r>
          </w:p>
        </w:tc>
        <w:tc>
          <w:tcPr>
            <w:tcW w:w="1231" w:type="dxa"/>
            <w:tcBorders>
              <w:top w:val="nil"/>
              <w:left w:val="nil"/>
              <w:bottom w:val="nil"/>
              <w:right w:val="nil"/>
            </w:tcBorders>
            <w:vAlign w:val="center"/>
          </w:tcPr>
          <w:p w14:paraId="2AC1156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48</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4C5F582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00C699E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5E0C024C"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0DC0F85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-5.76</w:t>
            </w:r>
          </w:p>
        </w:tc>
        <w:tc>
          <w:tcPr>
            <w:tcW w:w="1710" w:type="dxa"/>
            <w:tcBorders>
              <w:top w:val="nil"/>
              <w:left w:val="nil"/>
              <w:bottom w:val="nil"/>
              <w:right w:val="nil"/>
            </w:tcBorders>
            <w:vAlign w:val="center"/>
          </w:tcPr>
          <w:p w14:paraId="3F04525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23D8801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6.59</w:t>
            </w:r>
          </w:p>
        </w:tc>
      </w:tr>
      <w:tr w:rsidR="005E631E" w:rsidRPr="007E5190" w14:paraId="343EF8DC" w14:textId="77777777" w:rsidTr="005D0C61">
        <w:trPr>
          <w:trHeight w:val="432"/>
          <w:jc w:val="center"/>
        </w:trPr>
        <w:tc>
          <w:tcPr>
            <w:tcW w:w="1364" w:type="dxa"/>
            <w:tcBorders>
              <w:top w:val="nil"/>
              <w:left w:val="nil"/>
              <w:bottom w:val="nil"/>
              <w:right w:val="nil"/>
            </w:tcBorders>
            <w:vAlign w:val="center"/>
          </w:tcPr>
          <w:p w14:paraId="3673A00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11156036</w:t>
            </w:r>
          </w:p>
        </w:tc>
        <w:tc>
          <w:tcPr>
            <w:tcW w:w="1231" w:type="dxa"/>
            <w:tcBorders>
              <w:top w:val="nil"/>
              <w:left w:val="nil"/>
              <w:bottom w:val="nil"/>
              <w:right w:val="nil"/>
            </w:tcBorders>
            <w:vAlign w:val="center"/>
          </w:tcPr>
          <w:p w14:paraId="0CCF58C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48</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098EA10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3FC3E98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59E38A8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09475C9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-5.76</w:t>
            </w:r>
          </w:p>
        </w:tc>
        <w:tc>
          <w:tcPr>
            <w:tcW w:w="1710" w:type="dxa"/>
            <w:tcBorders>
              <w:top w:val="nil"/>
              <w:left w:val="nil"/>
              <w:bottom w:val="nil"/>
              <w:right w:val="nil"/>
            </w:tcBorders>
            <w:vAlign w:val="center"/>
          </w:tcPr>
          <w:p w14:paraId="11B852D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674DF1B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6.59</w:t>
            </w:r>
          </w:p>
        </w:tc>
      </w:tr>
      <w:tr w:rsidR="005E631E" w:rsidRPr="007E5190" w14:paraId="759ADE34" w14:textId="77777777" w:rsidTr="005D0C61">
        <w:trPr>
          <w:trHeight w:val="432"/>
          <w:jc w:val="center"/>
        </w:trPr>
        <w:tc>
          <w:tcPr>
            <w:tcW w:w="1364" w:type="dxa"/>
            <w:tcBorders>
              <w:top w:val="nil"/>
              <w:left w:val="nil"/>
              <w:bottom w:val="nil"/>
              <w:right w:val="nil"/>
            </w:tcBorders>
            <w:vAlign w:val="center"/>
          </w:tcPr>
          <w:p w14:paraId="6EDDE1A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11705538</w:t>
            </w:r>
          </w:p>
        </w:tc>
        <w:tc>
          <w:tcPr>
            <w:tcW w:w="1231" w:type="dxa"/>
            <w:tcBorders>
              <w:top w:val="nil"/>
              <w:left w:val="nil"/>
              <w:bottom w:val="nil"/>
              <w:right w:val="nil"/>
            </w:tcBorders>
            <w:vAlign w:val="center"/>
          </w:tcPr>
          <w:p w14:paraId="51273D7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29</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44</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696E61E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4AB00E4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5F1F93D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5976F90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-6.49</w:t>
            </w:r>
          </w:p>
        </w:tc>
        <w:tc>
          <w:tcPr>
            <w:tcW w:w="1710" w:type="dxa"/>
            <w:tcBorders>
              <w:top w:val="nil"/>
              <w:left w:val="nil"/>
              <w:bottom w:val="nil"/>
              <w:right w:val="nil"/>
            </w:tcBorders>
            <w:vAlign w:val="center"/>
          </w:tcPr>
          <w:p w14:paraId="443CEA58"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6FF71984"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6.42</w:t>
            </w:r>
          </w:p>
        </w:tc>
      </w:tr>
      <w:tr w:rsidR="005E631E" w:rsidRPr="007E5190" w14:paraId="1C7C3C7A" w14:textId="77777777" w:rsidTr="005D0C61">
        <w:trPr>
          <w:trHeight w:val="432"/>
          <w:jc w:val="center"/>
        </w:trPr>
        <w:tc>
          <w:tcPr>
            <w:tcW w:w="1364" w:type="dxa"/>
            <w:tcBorders>
              <w:top w:val="nil"/>
              <w:left w:val="nil"/>
              <w:bottom w:val="nil"/>
              <w:right w:val="nil"/>
            </w:tcBorders>
            <w:vAlign w:val="center"/>
          </w:tcPr>
          <w:p w14:paraId="514B577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12067090</w:t>
            </w:r>
          </w:p>
        </w:tc>
        <w:tc>
          <w:tcPr>
            <w:tcW w:w="1231" w:type="dxa"/>
            <w:tcBorders>
              <w:top w:val="nil"/>
              <w:left w:val="nil"/>
              <w:bottom w:val="nil"/>
              <w:right w:val="nil"/>
            </w:tcBorders>
            <w:vAlign w:val="center"/>
          </w:tcPr>
          <w:p w14:paraId="526763B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29</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44</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636879F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3A1C759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70D8E34C"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4B94BD9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-5.98</w:t>
            </w:r>
          </w:p>
        </w:tc>
        <w:tc>
          <w:tcPr>
            <w:tcW w:w="1710" w:type="dxa"/>
            <w:tcBorders>
              <w:top w:val="nil"/>
              <w:left w:val="nil"/>
              <w:bottom w:val="nil"/>
              <w:right w:val="nil"/>
            </w:tcBorders>
            <w:vAlign w:val="center"/>
          </w:tcPr>
          <w:p w14:paraId="243A21C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652D78B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6.43</w:t>
            </w:r>
          </w:p>
        </w:tc>
      </w:tr>
      <w:tr w:rsidR="005E631E" w:rsidRPr="007E5190" w14:paraId="27D6B9B9" w14:textId="77777777" w:rsidTr="005D0C61">
        <w:trPr>
          <w:trHeight w:val="432"/>
          <w:jc w:val="center"/>
        </w:trPr>
        <w:tc>
          <w:tcPr>
            <w:tcW w:w="1364" w:type="dxa"/>
            <w:tcBorders>
              <w:top w:val="nil"/>
              <w:left w:val="nil"/>
              <w:bottom w:val="nil"/>
              <w:right w:val="nil"/>
            </w:tcBorders>
            <w:vAlign w:val="center"/>
          </w:tcPr>
          <w:p w14:paraId="6528D8C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12134775</w:t>
            </w:r>
          </w:p>
        </w:tc>
        <w:tc>
          <w:tcPr>
            <w:tcW w:w="1231" w:type="dxa"/>
            <w:tcBorders>
              <w:top w:val="nil"/>
              <w:left w:val="nil"/>
              <w:bottom w:val="nil"/>
              <w:right w:val="nil"/>
            </w:tcBorders>
            <w:vAlign w:val="center"/>
          </w:tcPr>
          <w:p w14:paraId="6B12316C"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28</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42</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4</w:t>
            </w:r>
          </w:p>
        </w:tc>
        <w:tc>
          <w:tcPr>
            <w:tcW w:w="1231" w:type="dxa"/>
            <w:tcBorders>
              <w:top w:val="nil"/>
              <w:left w:val="nil"/>
              <w:bottom w:val="nil"/>
              <w:right w:val="nil"/>
            </w:tcBorders>
            <w:vAlign w:val="center"/>
          </w:tcPr>
          <w:p w14:paraId="33FEED3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55DFA09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7F217901"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422C10A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-5.88</w:t>
            </w:r>
          </w:p>
        </w:tc>
        <w:tc>
          <w:tcPr>
            <w:tcW w:w="1710" w:type="dxa"/>
            <w:tcBorders>
              <w:top w:val="nil"/>
              <w:left w:val="nil"/>
              <w:bottom w:val="nil"/>
              <w:right w:val="nil"/>
            </w:tcBorders>
            <w:vAlign w:val="center"/>
          </w:tcPr>
          <w:p w14:paraId="2F86AE4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5CD9BA8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6.09</w:t>
            </w:r>
          </w:p>
        </w:tc>
      </w:tr>
      <w:tr w:rsidR="005E631E" w:rsidRPr="007E5190" w14:paraId="682260DB" w14:textId="77777777" w:rsidTr="005D0C61">
        <w:trPr>
          <w:trHeight w:val="432"/>
          <w:jc w:val="center"/>
        </w:trPr>
        <w:tc>
          <w:tcPr>
            <w:tcW w:w="1364" w:type="dxa"/>
            <w:tcBorders>
              <w:top w:val="nil"/>
              <w:left w:val="nil"/>
              <w:bottom w:val="nil"/>
              <w:right w:val="nil"/>
            </w:tcBorders>
            <w:vAlign w:val="center"/>
          </w:tcPr>
          <w:p w14:paraId="739FA36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12442765</w:t>
            </w:r>
          </w:p>
        </w:tc>
        <w:tc>
          <w:tcPr>
            <w:tcW w:w="1231" w:type="dxa"/>
            <w:tcBorders>
              <w:top w:val="nil"/>
              <w:left w:val="nil"/>
              <w:bottom w:val="nil"/>
              <w:right w:val="nil"/>
            </w:tcBorders>
            <w:vAlign w:val="center"/>
          </w:tcPr>
          <w:p w14:paraId="4E4CA54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29</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44</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6</w:t>
            </w:r>
          </w:p>
        </w:tc>
        <w:tc>
          <w:tcPr>
            <w:tcW w:w="1231" w:type="dxa"/>
            <w:tcBorders>
              <w:top w:val="nil"/>
              <w:left w:val="nil"/>
              <w:bottom w:val="nil"/>
              <w:right w:val="nil"/>
            </w:tcBorders>
            <w:vAlign w:val="center"/>
          </w:tcPr>
          <w:p w14:paraId="6D6D35D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Low</w:t>
            </w:r>
          </w:p>
        </w:tc>
        <w:tc>
          <w:tcPr>
            <w:tcW w:w="1121" w:type="dxa"/>
            <w:tcBorders>
              <w:top w:val="nil"/>
              <w:left w:val="nil"/>
              <w:bottom w:val="nil"/>
              <w:right w:val="nil"/>
            </w:tcBorders>
            <w:vAlign w:val="center"/>
          </w:tcPr>
          <w:p w14:paraId="11B7308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3BCE7AF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7B4F7B1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-5.79</w:t>
            </w:r>
          </w:p>
        </w:tc>
        <w:tc>
          <w:tcPr>
            <w:tcW w:w="1710" w:type="dxa"/>
            <w:tcBorders>
              <w:top w:val="nil"/>
              <w:left w:val="nil"/>
              <w:bottom w:val="nil"/>
              <w:right w:val="nil"/>
            </w:tcBorders>
            <w:vAlign w:val="center"/>
          </w:tcPr>
          <w:p w14:paraId="33311D4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7E3C3DF8"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6.4</w:t>
            </w:r>
          </w:p>
        </w:tc>
      </w:tr>
      <w:tr w:rsidR="005E631E" w:rsidRPr="007E5190" w14:paraId="3C01B2D6" w14:textId="77777777" w:rsidTr="005D0C61">
        <w:trPr>
          <w:trHeight w:val="432"/>
          <w:jc w:val="center"/>
        </w:trPr>
        <w:tc>
          <w:tcPr>
            <w:tcW w:w="1364" w:type="dxa"/>
            <w:tcBorders>
              <w:top w:val="nil"/>
              <w:left w:val="nil"/>
              <w:bottom w:val="nil"/>
              <w:right w:val="nil"/>
            </w:tcBorders>
            <w:vAlign w:val="center"/>
          </w:tcPr>
          <w:p w14:paraId="09EAA4E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44575931</w:t>
            </w:r>
          </w:p>
        </w:tc>
        <w:tc>
          <w:tcPr>
            <w:tcW w:w="1231" w:type="dxa"/>
            <w:tcBorders>
              <w:top w:val="nil"/>
              <w:left w:val="nil"/>
              <w:bottom w:val="nil"/>
              <w:right w:val="nil"/>
            </w:tcBorders>
            <w:vAlign w:val="center"/>
          </w:tcPr>
          <w:p w14:paraId="09C3EDC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29</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46</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3C84F0C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53162988"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1444306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1702C6A1"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-5.86</w:t>
            </w:r>
          </w:p>
        </w:tc>
        <w:tc>
          <w:tcPr>
            <w:tcW w:w="1710" w:type="dxa"/>
            <w:tcBorders>
              <w:top w:val="nil"/>
              <w:left w:val="nil"/>
              <w:bottom w:val="nil"/>
              <w:right w:val="nil"/>
            </w:tcBorders>
            <w:vAlign w:val="center"/>
          </w:tcPr>
          <w:p w14:paraId="608AB9B8"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4503C0A1"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6.32</w:t>
            </w:r>
          </w:p>
        </w:tc>
      </w:tr>
      <w:tr w:rsidR="005E631E" w:rsidRPr="007E5190" w14:paraId="74585026" w14:textId="77777777" w:rsidTr="005D0C61">
        <w:trPr>
          <w:trHeight w:val="432"/>
          <w:jc w:val="center"/>
        </w:trPr>
        <w:tc>
          <w:tcPr>
            <w:tcW w:w="1364" w:type="dxa"/>
            <w:tcBorders>
              <w:top w:val="nil"/>
              <w:left w:val="nil"/>
              <w:bottom w:val="nil"/>
              <w:right w:val="nil"/>
            </w:tcBorders>
            <w:vAlign w:val="center"/>
          </w:tcPr>
          <w:p w14:paraId="2836871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53253851</w:t>
            </w:r>
          </w:p>
        </w:tc>
        <w:tc>
          <w:tcPr>
            <w:tcW w:w="1231" w:type="dxa"/>
            <w:tcBorders>
              <w:top w:val="nil"/>
              <w:left w:val="nil"/>
              <w:bottom w:val="nil"/>
              <w:right w:val="nil"/>
            </w:tcBorders>
            <w:vAlign w:val="center"/>
          </w:tcPr>
          <w:p w14:paraId="4EEA7FC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48</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15342AF8"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0D611861"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60F1022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18EB6B01"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-5.87</w:t>
            </w:r>
          </w:p>
        </w:tc>
        <w:tc>
          <w:tcPr>
            <w:tcW w:w="1710" w:type="dxa"/>
            <w:tcBorders>
              <w:top w:val="nil"/>
              <w:left w:val="nil"/>
              <w:bottom w:val="nil"/>
              <w:right w:val="nil"/>
            </w:tcBorders>
            <w:vAlign w:val="center"/>
          </w:tcPr>
          <w:p w14:paraId="1A74D5F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0F420F7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6.53</w:t>
            </w:r>
          </w:p>
        </w:tc>
      </w:tr>
      <w:tr w:rsidR="005E631E" w:rsidRPr="007E5190" w14:paraId="0B3A8FD4" w14:textId="77777777" w:rsidTr="005D0C61">
        <w:trPr>
          <w:trHeight w:val="432"/>
          <w:jc w:val="center"/>
        </w:trPr>
        <w:tc>
          <w:tcPr>
            <w:tcW w:w="1364" w:type="dxa"/>
            <w:tcBorders>
              <w:top w:val="nil"/>
              <w:left w:val="nil"/>
              <w:bottom w:val="nil"/>
              <w:right w:val="nil"/>
            </w:tcBorders>
            <w:vAlign w:val="center"/>
          </w:tcPr>
          <w:p w14:paraId="7B07AEAC"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53822830</w:t>
            </w:r>
          </w:p>
        </w:tc>
        <w:tc>
          <w:tcPr>
            <w:tcW w:w="1231" w:type="dxa"/>
            <w:tcBorders>
              <w:top w:val="nil"/>
              <w:left w:val="nil"/>
              <w:bottom w:val="nil"/>
              <w:right w:val="nil"/>
            </w:tcBorders>
            <w:vAlign w:val="center"/>
          </w:tcPr>
          <w:p w14:paraId="70C4F9D6"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21</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32</w:t>
            </w:r>
            <w:r w:rsidRPr="007E5190">
              <w:rPr>
                <w:rFonts w:ascii="Times New Roman" w:hAnsi="Times New Roman" w:cs="Times New Roman"/>
                <w:color w:val="0D0D0D" w:themeColor="text1" w:themeTint="F2"/>
                <w:sz w:val="22"/>
                <w:szCs w:val="22"/>
              </w:rPr>
              <w:t>O</w:t>
            </w:r>
          </w:p>
        </w:tc>
        <w:tc>
          <w:tcPr>
            <w:tcW w:w="1231" w:type="dxa"/>
            <w:tcBorders>
              <w:top w:val="nil"/>
              <w:left w:val="nil"/>
              <w:bottom w:val="nil"/>
              <w:right w:val="nil"/>
            </w:tcBorders>
            <w:vAlign w:val="center"/>
          </w:tcPr>
          <w:p w14:paraId="4FB1829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67EC0B2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084" w:type="dxa"/>
            <w:tcBorders>
              <w:top w:val="nil"/>
              <w:left w:val="nil"/>
              <w:bottom w:val="nil"/>
              <w:right w:val="nil"/>
            </w:tcBorders>
            <w:vAlign w:val="center"/>
          </w:tcPr>
          <w:p w14:paraId="65750D18"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390" w:type="dxa"/>
            <w:tcBorders>
              <w:top w:val="nil"/>
              <w:left w:val="nil"/>
              <w:bottom w:val="nil"/>
              <w:right w:val="nil"/>
            </w:tcBorders>
            <w:vAlign w:val="center"/>
          </w:tcPr>
          <w:p w14:paraId="56842C7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-4.72</w:t>
            </w:r>
          </w:p>
        </w:tc>
        <w:tc>
          <w:tcPr>
            <w:tcW w:w="1710" w:type="dxa"/>
            <w:tcBorders>
              <w:top w:val="nil"/>
              <w:left w:val="nil"/>
              <w:bottom w:val="nil"/>
              <w:right w:val="nil"/>
            </w:tcBorders>
            <w:vAlign w:val="center"/>
          </w:tcPr>
          <w:p w14:paraId="27AA5D1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0.55</w:t>
            </w:r>
          </w:p>
        </w:tc>
        <w:tc>
          <w:tcPr>
            <w:tcW w:w="1390" w:type="dxa"/>
            <w:tcBorders>
              <w:top w:val="nil"/>
              <w:left w:val="nil"/>
              <w:bottom w:val="nil"/>
              <w:right w:val="nil"/>
            </w:tcBorders>
            <w:vAlign w:val="center"/>
          </w:tcPr>
          <w:p w14:paraId="4DC149D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4.73</w:t>
            </w:r>
          </w:p>
        </w:tc>
      </w:tr>
      <w:tr w:rsidR="005E631E" w:rsidRPr="007E5190" w14:paraId="2A4471A4" w14:textId="77777777" w:rsidTr="005D0C61">
        <w:trPr>
          <w:trHeight w:val="432"/>
          <w:jc w:val="center"/>
        </w:trPr>
        <w:tc>
          <w:tcPr>
            <w:tcW w:w="1364" w:type="dxa"/>
            <w:tcBorders>
              <w:top w:val="nil"/>
              <w:left w:val="nil"/>
              <w:bottom w:val="nil"/>
              <w:right w:val="nil"/>
            </w:tcBorders>
            <w:vAlign w:val="center"/>
          </w:tcPr>
          <w:p w14:paraId="60AC7FD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68335034</w:t>
            </w:r>
          </w:p>
        </w:tc>
        <w:tc>
          <w:tcPr>
            <w:tcW w:w="1231" w:type="dxa"/>
            <w:tcBorders>
              <w:top w:val="nil"/>
              <w:left w:val="nil"/>
              <w:bottom w:val="nil"/>
              <w:right w:val="nil"/>
            </w:tcBorders>
            <w:vAlign w:val="center"/>
          </w:tcPr>
          <w:p w14:paraId="54B26F4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32</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2</w:t>
            </w:r>
          </w:p>
        </w:tc>
        <w:tc>
          <w:tcPr>
            <w:tcW w:w="1231" w:type="dxa"/>
            <w:tcBorders>
              <w:top w:val="nil"/>
              <w:left w:val="nil"/>
              <w:bottom w:val="nil"/>
              <w:right w:val="nil"/>
            </w:tcBorders>
            <w:vAlign w:val="center"/>
          </w:tcPr>
          <w:p w14:paraId="5C637B1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6F74FC36"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084" w:type="dxa"/>
            <w:tcBorders>
              <w:top w:val="nil"/>
              <w:left w:val="nil"/>
              <w:bottom w:val="nil"/>
              <w:right w:val="nil"/>
            </w:tcBorders>
            <w:vAlign w:val="center"/>
          </w:tcPr>
          <w:p w14:paraId="75FC96E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7637174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-5.21</w:t>
            </w:r>
          </w:p>
        </w:tc>
        <w:tc>
          <w:tcPr>
            <w:tcW w:w="1710" w:type="dxa"/>
            <w:tcBorders>
              <w:top w:val="nil"/>
              <w:left w:val="nil"/>
              <w:bottom w:val="nil"/>
              <w:right w:val="nil"/>
            </w:tcBorders>
            <w:vAlign w:val="center"/>
          </w:tcPr>
          <w:p w14:paraId="3A84F18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0.55</w:t>
            </w:r>
          </w:p>
        </w:tc>
        <w:tc>
          <w:tcPr>
            <w:tcW w:w="1390" w:type="dxa"/>
            <w:tcBorders>
              <w:top w:val="nil"/>
              <w:left w:val="nil"/>
              <w:bottom w:val="nil"/>
              <w:right w:val="nil"/>
            </w:tcBorders>
            <w:vAlign w:val="center"/>
          </w:tcPr>
          <w:p w14:paraId="1931E5A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4.41</w:t>
            </w:r>
          </w:p>
        </w:tc>
      </w:tr>
      <w:tr w:rsidR="005E631E" w:rsidRPr="007E5190" w14:paraId="4667D71B" w14:textId="77777777" w:rsidTr="005D0C61">
        <w:trPr>
          <w:trHeight w:val="432"/>
          <w:jc w:val="center"/>
        </w:trPr>
        <w:tc>
          <w:tcPr>
            <w:tcW w:w="1364" w:type="dxa"/>
            <w:tcBorders>
              <w:top w:val="nil"/>
              <w:left w:val="nil"/>
              <w:bottom w:val="nil"/>
              <w:right w:val="nil"/>
            </w:tcBorders>
            <w:vAlign w:val="center"/>
          </w:tcPr>
          <w:p w14:paraId="1EC873FA" w14:textId="77777777" w:rsidR="002D623D" w:rsidRPr="007E5190" w:rsidRDefault="002D623D" w:rsidP="002D623D">
            <w:pPr>
              <w:jc w:val="center"/>
              <w:rPr>
                <w:rFonts w:ascii="Times New Roman" w:eastAsia="Times New Roman" w:hAnsi="Times New Roman" w:cs="Times New Roman"/>
                <w:color w:val="0D0D0D" w:themeColor="text1" w:themeTint="F2"/>
                <w:kern w:val="0"/>
                <w14:ligatures w14:val="none"/>
              </w:rPr>
            </w:pPr>
            <w:r w:rsidRPr="007E5190">
              <w:rPr>
                <w:rFonts w:ascii="Times New Roman" w:eastAsia="Times New Roman" w:hAnsi="Times New Roman" w:cs="Times New Roman"/>
                <w:color w:val="0D0D0D" w:themeColor="text1" w:themeTint="F2"/>
                <w:kern w:val="0"/>
                <w14:ligatures w14:val="none"/>
              </w:rPr>
              <w:t>70626379</w:t>
            </w:r>
          </w:p>
        </w:tc>
        <w:tc>
          <w:tcPr>
            <w:tcW w:w="1231" w:type="dxa"/>
            <w:tcBorders>
              <w:top w:val="nil"/>
              <w:left w:val="nil"/>
              <w:bottom w:val="nil"/>
              <w:right w:val="nil"/>
            </w:tcBorders>
            <w:vAlign w:val="center"/>
          </w:tcPr>
          <w:p w14:paraId="0B15F7AB" w14:textId="77777777" w:rsidR="002D623D" w:rsidRPr="007E5190" w:rsidRDefault="002D623D" w:rsidP="002D623D">
            <w:pPr>
              <w:jc w:val="center"/>
              <w:rPr>
                <w:rFonts w:ascii="Times New Roman" w:hAnsi="Times New Roman" w:cs="Times New Roman"/>
                <w:color w:val="0D0D0D" w:themeColor="text1" w:themeTint="F2"/>
                <w:sz w:val="22"/>
                <w:szCs w:val="22"/>
                <w:vertAlign w:val="subscript"/>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12</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34</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2</w:t>
            </w:r>
          </w:p>
        </w:tc>
        <w:tc>
          <w:tcPr>
            <w:tcW w:w="1231" w:type="dxa"/>
            <w:tcBorders>
              <w:top w:val="nil"/>
              <w:left w:val="nil"/>
              <w:bottom w:val="nil"/>
              <w:right w:val="nil"/>
            </w:tcBorders>
            <w:vAlign w:val="center"/>
          </w:tcPr>
          <w:p w14:paraId="64CB1749" w14:textId="77777777" w:rsidR="002D623D" w:rsidRPr="007E5190" w:rsidRDefault="002D623D" w:rsidP="002D623D">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5E494640" w14:textId="77777777" w:rsidR="002D623D" w:rsidRPr="007E5190" w:rsidRDefault="002D623D" w:rsidP="002D623D">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sz w:val="22"/>
                <w:szCs w:val="22"/>
              </w:rPr>
              <w:t>Yes</w:t>
            </w:r>
          </w:p>
        </w:tc>
        <w:tc>
          <w:tcPr>
            <w:tcW w:w="1084" w:type="dxa"/>
            <w:tcBorders>
              <w:top w:val="nil"/>
              <w:left w:val="nil"/>
              <w:bottom w:val="nil"/>
              <w:right w:val="nil"/>
            </w:tcBorders>
            <w:vAlign w:val="center"/>
          </w:tcPr>
          <w:p w14:paraId="3C18F352" w14:textId="77777777" w:rsidR="002D623D" w:rsidRPr="007E5190" w:rsidRDefault="002D623D" w:rsidP="002D623D">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243B641D" w14:textId="77777777" w:rsidR="002D623D" w:rsidRPr="007E5190" w:rsidRDefault="002D623D" w:rsidP="002D623D">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sz w:val="22"/>
                <w:szCs w:val="22"/>
              </w:rPr>
              <w:t>-4.76</w:t>
            </w:r>
          </w:p>
        </w:tc>
        <w:tc>
          <w:tcPr>
            <w:tcW w:w="1710" w:type="dxa"/>
            <w:tcBorders>
              <w:top w:val="nil"/>
              <w:left w:val="nil"/>
              <w:bottom w:val="nil"/>
              <w:right w:val="nil"/>
            </w:tcBorders>
            <w:vAlign w:val="center"/>
          </w:tcPr>
          <w:p w14:paraId="157C5F6A" w14:textId="77777777" w:rsidR="002D623D" w:rsidRPr="007E5190" w:rsidRDefault="002D623D" w:rsidP="002D623D">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sz w:val="22"/>
                <w:szCs w:val="22"/>
              </w:rPr>
              <w:t>0.55</w:t>
            </w:r>
          </w:p>
        </w:tc>
        <w:tc>
          <w:tcPr>
            <w:tcW w:w="1390" w:type="dxa"/>
            <w:tcBorders>
              <w:top w:val="nil"/>
              <w:left w:val="nil"/>
              <w:bottom w:val="nil"/>
              <w:right w:val="nil"/>
            </w:tcBorders>
            <w:vAlign w:val="center"/>
          </w:tcPr>
          <w:p w14:paraId="5F6525CB" w14:textId="77777777" w:rsidR="002D623D" w:rsidRPr="007E5190" w:rsidRDefault="002D623D" w:rsidP="002D623D">
            <w:pPr>
              <w:jc w:val="center"/>
              <w:rPr>
                <w:rFonts w:ascii="Times New Roman" w:hAnsi="Times New Roman" w:cs="Times New Roman"/>
                <w:color w:val="0D0D0D" w:themeColor="text1" w:themeTint="F2"/>
                <w:sz w:val="22"/>
                <w:szCs w:val="22"/>
              </w:rPr>
            </w:pPr>
            <w:r w:rsidRPr="007E5190">
              <w:rPr>
                <w:rFonts w:ascii="Times New Roman" w:hAnsi="Times New Roman" w:cs="Times New Roman"/>
                <w:color w:val="0D0D0D" w:themeColor="text1" w:themeTint="F2"/>
                <w:sz w:val="22"/>
                <w:szCs w:val="22"/>
              </w:rPr>
              <w:t>4.59</w:t>
            </w:r>
          </w:p>
        </w:tc>
      </w:tr>
      <w:tr w:rsidR="005E631E" w:rsidRPr="007E5190" w14:paraId="1CBE3240" w14:textId="77777777" w:rsidTr="005D0C61">
        <w:trPr>
          <w:trHeight w:val="432"/>
          <w:jc w:val="center"/>
        </w:trPr>
        <w:tc>
          <w:tcPr>
            <w:tcW w:w="1364" w:type="dxa"/>
            <w:tcBorders>
              <w:top w:val="nil"/>
              <w:left w:val="nil"/>
              <w:bottom w:val="nil"/>
              <w:right w:val="nil"/>
            </w:tcBorders>
            <w:vAlign w:val="center"/>
          </w:tcPr>
          <w:p w14:paraId="18B3F20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70680338</w:t>
            </w:r>
          </w:p>
        </w:tc>
        <w:tc>
          <w:tcPr>
            <w:tcW w:w="1231" w:type="dxa"/>
            <w:tcBorders>
              <w:top w:val="nil"/>
              <w:left w:val="nil"/>
              <w:bottom w:val="nil"/>
              <w:right w:val="nil"/>
            </w:tcBorders>
            <w:vAlign w:val="center"/>
          </w:tcPr>
          <w:p w14:paraId="4A592B3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46</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59DAF48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3FE3D74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22C7934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5D697FE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-5.8</w:t>
            </w:r>
          </w:p>
        </w:tc>
        <w:tc>
          <w:tcPr>
            <w:tcW w:w="1710" w:type="dxa"/>
            <w:tcBorders>
              <w:top w:val="nil"/>
              <w:left w:val="nil"/>
              <w:bottom w:val="nil"/>
              <w:right w:val="nil"/>
            </w:tcBorders>
            <w:vAlign w:val="center"/>
          </w:tcPr>
          <w:p w14:paraId="335D9A5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28F6BD0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6.6</w:t>
            </w:r>
          </w:p>
        </w:tc>
      </w:tr>
      <w:tr w:rsidR="005E631E" w:rsidRPr="007E5190" w14:paraId="44C8B498" w14:textId="77777777" w:rsidTr="005D0C61">
        <w:trPr>
          <w:trHeight w:val="432"/>
          <w:jc w:val="center"/>
        </w:trPr>
        <w:tc>
          <w:tcPr>
            <w:tcW w:w="1364" w:type="dxa"/>
            <w:tcBorders>
              <w:top w:val="nil"/>
              <w:left w:val="nil"/>
              <w:bottom w:val="nil"/>
              <w:right w:val="nil"/>
            </w:tcBorders>
            <w:vAlign w:val="center"/>
          </w:tcPr>
          <w:p w14:paraId="479A7506"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70697438</w:t>
            </w:r>
          </w:p>
        </w:tc>
        <w:tc>
          <w:tcPr>
            <w:tcW w:w="1231" w:type="dxa"/>
            <w:tcBorders>
              <w:top w:val="nil"/>
              <w:left w:val="nil"/>
              <w:bottom w:val="nil"/>
              <w:right w:val="nil"/>
            </w:tcBorders>
            <w:vAlign w:val="center"/>
          </w:tcPr>
          <w:p w14:paraId="0B8854B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46</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08272C7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61E2140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3927CE0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4717A8D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-5.8</w:t>
            </w:r>
          </w:p>
        </w:tc>
        <w:tc>
          <w:tcPr>
            <w:tcW w:w="1710" w:type="dxa"/>
            <w:tcBorders>
              <w:top w:val="nil"/>
              <w:left w:val="nil"/>
              <w:bottom w:val="nil"/>
              <w:right w:val="nil"/>
            </w:tcBorders>
            <w:vAlign w:val="center"/>
          </w:tcPr>
          <w:p w14:paraId="71B48F06"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36DFDA5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6.6</w:t>
            </w:r>
          </w:p>
        </w:tc>
      </w:tr>
      <w:tr w:rsidR="005E631E" w:rsidRPr="007E5190" w14:paraId="7796FF2F" w14:textId="77777777" w:rsidTr="005D0C61">
        <w:trPr>
          <w:trHeight w:val="432"/>
          <w:jc w:val="center"/>
        </w:trPr>
        <w:tc>
          <w:tcPr>
            <w:tcW w:w="1364" w:type="dxa"/>
            <w:tcBorders>
              <w:top w:val="nil"/>
              <w:left w:val="nil"/>
              <w:bottom w:val="nil"/>
              <w:right w:val="nil"/>
            </w:tcBorders>
            <w:vAlign w:val="center"/>
          </w:tcPr>
          <w:p w14:paraId="62C4F56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89593574</w:t>
            </w:r>
          </w:p>
        </w:tc>
        <w:tc>
          <w:tcPr>
            <w:tcW w:w="1231" w:type="dxa"/>
            <w:tcBorders>
              <w:top w:val="nil"/>
              <w:left w:val="nil"/>
              <w:bottom w:val="nil"/>
              <w:right w:val="nil"/>
            </w:tcBorders>
            <w:vAlign w:val="center"/>
          </w:tcPr>
          <w:p w14:paraId="39071D2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32</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2</w:t>
            </w:r>
          </w:p>
        </w:tc>
        <w:tc>
          <w:tcPr>
            <w:tcW w:w="1231" w:type="dxa"/>
            <w:tcBorders>
              <w:top w:val="nil"/>
              <w:left w:val="nil"/>
              <w:bottom w:val="nil"/>
              <w:right w:val="nil"/>
            </w:tcBorders>
            <w:vAlign w:val="center"/>
          </w:tcPr>
          <w:p w14:paraId="60F6258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5E09928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084" w:type="dxa"/>
            <w:tcBorders>
              <w:top w:val="nil"/>
              <w:left w:val="nil"/>
              <w:bottom w:val="nil"/>
              <w:right w:val="nil"/>
            </w:tcBorders>
            <w:vAlign w:val="center"/>
          </w:tcPr>
          <w:p w14:paraId="3046A4D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212E087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-5.21</w:t>
            </w:r>
          </w:p>
        </w:tc>
        <w:tc>
          <w:tcPr>
            <w:tcW w:w="1710" w:type="dxa"/>
            <w:tcBorders>
              <w:top w:val="nil"/>
              <w:left w:val="nil"/>
              <w:bottom w:val="nil"/>
              <w:right w:val="nil"/>
            </w:tcBorders>
            <w:vAlign w:val="center"/>
          </w:tcPr>
          <w:p w14:paraId="7E06D66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0.55</w:t>
            </w:r>
          </w:p>
        </w:tc>
        <w:tc>
          <w:tcPr>
            <w:tcW w:w="1390" w:type="dxa"/>
            <w:tcBorders>
              <w:top w:val="nil"/>
              <w:left w:val="nil"/>
              <w:bottom w:val="nil"/>
              <w:right w:val="nil"/>
            </w:tcBorders>
            <w:vAlign w:val="center"/>
          </w:tcPr>
          <w:p w14:paraId="675D0BB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4.41</w:t>
            </w:r>
          </w:p>
        </w:tc>
      </w:tr>
      <w:tr w:rsidR="005E631E" w:rsidRPr="007E5190" w14:paraId="13BA5ABC" w14:textId="77777777" w:rsidTr="005D0C61">
        <w:trPr>
          <w:trHeight w:val="432"/>
          <w:jc w:val="center"/>
        </w:trPr>
        <w:tc>
          <w:tcPr>
            <w:tcW w:w="1364" w:type="dxa"/>
            <w:tcBorders>
              <w:top w:val="nil"/>
              <w:left w:val="nil"/>
              <w:bottom w:val="nil"/>
              <w:right w:val="nil"/>
            </w:tcBorders>
            <w:vAlign w:val="center"/>
          </w:tcPr>
          <w:p w14:paraId="76C8A58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90450652</w:t>
            </w:r>
          </w:p>
        </w:tc>
        <w:tc>
          <w:tcPr>
            <w:tcW w:w="1231" w:type="dxa"/>
            <w:tcBorders>
              <w:top w:val="nil"/>
              <w:left w:val="nil"/>
              <w:bottom w:val="nil"/>
              <w:right w:val="nil"/>
            </w:tcBorders>
            <w:vAlign w:val="center"/>
          </w:tcPr>
          <w:p w14:paraId="0A825AC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19</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O</w:t>
            </w:r>
          </w:p>
        </w:tc>
        <w:tc>
          <w:tcPr>
            <w:tcW w:w="1231" w:type="dxa"/>
            <w:tcBorders>
              <w:top w:val="nil"/>
              <w:left w:val="nil"/>
              <w:bottom w:val="nil"/>
              <w:right w:val="nil"/>
            </w:tcBorders>
            <w:vAlign w:val="center"/>
          </w:tcPr>
          <w:p w14:paraId="45E0283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437426E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084" w:type="dxa"/>
            <w:tcBorders>
              <w:top w:val="nil"/>
              <w:left w:val="nil"/>
              <w:bottom w:val="nil"/>
              <w:right w:val="nil"/>
            </w:tcBorders>
            <w:vAlign w:val="center"/>
          </w:tcPr>
          <w:p w14:paraId="5A05C3C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390" w:type="dxa"/>
            <w:tcBorders>
              <w:top w:val="nil"/>
              <w:left w:val="nil"/>
              <w:bottom w:val="nil"/>
              <w:right w:val="nil"/>
            </w:tcBorders>
            <w:vAlign w:val="center"/>
          </w:tcPr>
          <w:p w14:paraId="2A34DBA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-4.52</w:t>
            </w:r>
          </w:p>
        </w:tc>
        <w:tc>
          <w:tcPr>
            <w:tcW w:w="1710" w:type="dxa"/>
            <w:tcBorders>
              <w:top w:val="nil"/>
              <w:left w:val="nil"/>
              <w:bottom w:val="nil"/>
              <w:right w:val="nil"/>
            </w:tcBorders>
            <w:vAlign w:val="center"/>
          </w:tcPr>
          <w:p w14:paraId="48DA484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0.55</w:t>
            </w:r>
          </w:p>
        </w:tc>
        <w:tc>
          <w:tcPr>
            <w:tcW w:w="1390" w:type="dxa"/>
            <w:tcBorders>
              <w:top w:val="nil"/>
              <w:left w:val="nil"/>
              <w:bottom w:val="nil"/>
              <w:right w:val="nil"/>
            </w:tcBorders>
            <w:vAlign w:val="center"/>
          </w:tcPr>
          <w:p w14:paraId="79141D7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4.07</w:t>
            </w:r>
          </w:p>
        </w:tc>
      </w:tr>
      <w:tr w:rsidR="005E631E" w:rsidRPr="007E5190" w14:paraId="517285A3" w14:textId="77777777" w:rsidTr="005D0C61">
        <w:trPr>
          <w:trHeight w:val="432"/>
          <w:jc w:val="center"/>
        </w:trPr>
        <w:tc>
          <w:tcPr>
            <w:tcW w:w="1364" w:type="dxa"/>
            <w:tcBorders>
              <w:top w:val="nil"/>
              <w:left w:val="nil"/>
              <w:bottom w:val="nil"/>
              <w:right w:val="nil"/>
            </w:tcBorders>
            <w:vAlign w:val="center"/>
          </w:tcPr>
          <w:p w14:paraId="6F379A5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101844542</w:t>
            </w:r>
          </w:p>
        </w:tc>
        <w:tc>
          <w:tcPr>
            <w:tcW w:w="1231" w:type="dxa"/>
            <w:tcBorders>
              <w:top w:val="nil"/>
              <w:left w:val="nil"/>
              <w:bottom w:val="nil"/>
              <w:right w:val="nil"/>
            </w:tcBorders>
            <w:vAlign w:val="center"/>
          </w:tcPr>
          <w:p w14:paraId="4327DBDC"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29</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44</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6B2A56D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52537B95"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67B8E38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3AFEDC6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-5.81</w:t>
            </w:r>
          </w:p>
        </w:tc>
        <w:tc>
          <w:tcPr>
            <w:tcW w:w="1710" w:type="dxa"/>
            <w:tcBorders>
              <w:top w:val="nil"/>
              <w:left w:val="nil"/>
              <w:bottom w:val="nil"/>
              <w:right w:val="nil"/>
            </w:tcBorders>
            <w:vAlign w:val="center"/>
          </w:tcPr>
          <w:p w14:paraId="5E5989F8"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2C0EDE4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6.33</w:t>
            </w:r>
          </w:p>
        </w:tc>
      </w:tr>
      <w:tr w:rsidR="005E631E" w:rsidRPr="007E5190" w14:paraId="4280A89D" w14:textId="77777777" w:rsidTr="005D0C61">
        <w:trPr>
          <w:trHeight w:val="432"/>
          <w:jc w:val="center"/>
        </w:trPr>
        <w:tc>
          <w:tcPr>
            <w:tcW w:w="1364" w:type="dxa"/>
            <w:tcBorders>
              <w:top w:val="nil"/>
              <w:left w:val="nil"/>
              <w:bottom w:val="nil"/>
              <w:right w:val="nil"/>
            </w:tcBorders>
            <w:vAlign w:val="center"/>
          </w:tcPr>
          <w:p w14:paraId="317DA65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102408107</w:t>
            </w:r>
          </w:p>
        </w:tc>
        <w:tc>
          <w:tcPr>
            <w:tcW w:w="1231" w:type="dxa"/>
            <w:tcBorders>
              <w:top w:val="nil"/>
              <w:left w:val="nil"/>
              <w:bottom w:val="nil"/>
              <w:right w:val="nil"/>
            </w:tcBorders>
            <w:vAlign w:val="center"/>
          </w:tcPr>
          <w:p w14:paraId="3C642A0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29</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44</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69AE46F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5DE5FA9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5ACBC39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561BED18"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-6.05</w:t>
            </w:r>
          </w:p>
        </w:tc>
        <w:tc>
          <w:tcPr>
            <w:tcW w:w="1710" w:type="dxa"/>
            <w:tcBorders>
              <w:top w:val="nil"/>
              <w:left w:val="nil"/>
              <w:bottom w:val="nil"/>
              <w:right w:val="nil"/>
            </w:tcBorders>
            <w:vAlign w:val="center"/>
          </w:tcPr>
          <w:p w14:paraId="08639F1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70DBFCD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6.43</w:t>
            </w:r>
          </w:p>
        </w:tc>
      </w:tr>
      <w:tr w:rsidR="005E631E" w:rsidRPr="007E5190" w14:paraId="42907F4B" w14:textId="77777777" w:rsidTr="005D0C61">
        <w:trPr>
          <w:trHeight w:val="432"/>
          <w:jc w:val="center"/>
        </w:trPr>
        <w:tc>
          <w:tcPr>
            <w:tcW w:w="1364" w:type="dxa"/>
            <w:tcBorders>
              <w:top w:val="nil"/>
              <w:left w:val="nil"/>
              <w:bottom w:val="nil"/>
              <w:right w:val="nil"/>
            </w:tcBorders>
            <w:vAlign w:val="center"/>
          </w:tcPr>
          <w:p w14:paraId="5CD1727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118580276</w:t>
            </w:r>
          </w:p>
        </w:tc>
        <w:tc>
          <w:tcPr>
            <w:tcW w:w="1231" w:type="dxa"/>
            <w:tcBorders>
              <w:top w:val="nil"/>
              <w:left w:val="nil"/>
              <w:bottom w:val="nil"/>
              <w:right w:val="nil"/>
            </w:tcBorders>
            <w:vAlign w:val="center"/>
          </w:tcPr>
          <w:p w14:paraId="6A211A7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19</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O</w:t>
            </w:r>
          </w:p>
        </w:tc>
        <w:tc>
          <w:tcPr>
            <w:tcW w:w="1231" w:type="dxa"/>
            <w:tcBorders>
              <w:top w:val="nil"/>
              <w:left w:val="nil"/>
              <w:bottom w:val="nil"/>
              <w:right w:val="nil"/>
            </w:tcBorders>
            <w:vAlign w:val="center"/>
          </w:tcPr>
          <w:p w14:paraId="130236C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56FB61E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084" w:type="dxa"/>
            <w:tcBorders>
              <w:top w:val="nil"/>
              <w:left w:val="nil"/>
              <w:bottom w:val="nil"/>
              <w:right w:val="nil"/>
            </w:tcBorders>
            <w:vAlign w:val="center"/>
          </w:tcPr>
          <w:p w14:paraId="04E8BCC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390" w:type="dxa"/>
            <w:tcBorders>
              <w:top w:val="nil"/>
              <w:left w:val="nil"/>
              <w:bottom w:val="nil"/>
              <w:right w:val="nil"/>
            </w:tcBorders>
            <w:vAlign w:val="center"/>
          </w:tcPr>
          <w:p w14:paraId="6FA0006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-4.52</w:t>
            </w:r>
          </w:p>
        </w:tc>
        <w:tc>
          <w:tcPr>
            <w:tcW w:w="1710" w:type="dxa"/>
            <w:tcBorders>
              <w:top w:val="nil"/>
              <w:left w:val="nil"/>
              <w:bottom w:val="nil"/>
              <w:right w:val="nil"/>
            </w:tcBorders>
            <w:vAlign w:val="center"/>
          </w:tcPr>
          <w:p w14:paraId="683C59E4"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0.55</w:t>
            </w:r>
          </w:p>
        </w:tc>
        <w:tc>
          <w:tcPr>
            <w:tcW w:w="1390" w:type="dxa"/>
            <w:tcBorders>
              <w:top w:val="nil"/>
              <w:left w:val="nil"/>
              <w:bottom w:val="nil"/>
              <w:right w:val="nil"/>
            </w:tcBorders>
            <w:vAlign w:val="center"/>
          </w:tcPr>
          <w:p w14:paraId="6E515E0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4.07</w:t>
            </w:r>
          </w:p>
        </w:tc>
      </w:tr>
      <w:tr w:rsidR="005E631E" w:rsidRPr="007E5190" w14:paraId="185DD69B" w14:textId="77777777" w:rsidTr="005D0C61">
        <w:trPr>
          <w:trHeight w:val="432"/>
          <w:jc w:val="center"/>
        </w:trPr>
        <w:tc>
          <w:tcPr>
            <w:tcW w:w="1364" w:type="dxa"/>
            <w:tcBorders>
              <w:top w:val="nil"/>
              <w:left w:val="nil"/>
              <w:bottom w:val="nil"/>
              <w:right w:val="nil"/>
            </w:tcBorders>
            <w:vAlign w:val="center"/>
          </w:tcPr>
          <w:p w14:paraId="3C7030C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118580279</w:t>
            </w:r>
          </w:p>
        </w:tc>
        <w:tc>
          <w:tcPr>
            <w:tcW w:w="1231" w:type="dxa"/>
            <w:tcBorders>
              <w:top w:val="nil"/>
              <w:left w:val="nil"/>
              <w:bottom w:val="nil"/>
              <w:right w:val="nil"/>
            </w:tcBorders>
            <w:vAlign w:val="center"/>
          </w:tcPr>
          <w:p w14:paraId="370CBFB4"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19</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O</w:t>
            </w:r>
          </w:p>
        </w:tc>
        <w:tc>
          <w:tcPr>
            <w:tcW w:w="1231" w:type="dxa"/>
            <w:tcBorders>
              <w:top w:val="nil"/>
              <w:left w:val="nil"/>
              <w:bottom w:val="nil"/>
              <w:right w:val="nil"/>
            </w:tcBorders>
            <w:vAlign w:val="center"/>
          </w:tcPr>
          <w:p w14:paraId="7F231BB4"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00EAB4E4"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084" w:type="dxa"/>
            <w:tcBorders>
              <w:top w:val="nil"/>
              <w:left w:val="nil"/>
              <w:bottom w:val="nil"/>
              <w:right w:val="nil"/>
            </w:tcBorders>
            <w:vAlign w:val="center"/>
          </w:tcPr>
          <w:p w14:paraId="472A42E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390" w:type="dxa"/>
            <w:tcBorders>
              <w:top w:val="nil"/>
              <w:left w:val="nil"/>
              <w:bottom w:val="nil"/>
              <w:right w:val="nil"/>
            </w:tcBorders>
            <w:vAlign w:val="center"/>
          </w:tcPr>
          <w:p w14:paraId="3B557AF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-4.52</w:t>
            </w:r>
          </w:p>
        </w:tc>
        <w:tc>
          <w:tcPr>
            <w:tcW w:w="1710" w:type="dxa"/>
            <w:tcBorders>
              <w:top w:val="nil"/>
              <w:left w:val="nil"/>
              <w:bottom w:val="nil"/>
              <w:right w:val="nil"/>
            </w:tcBorders>
            <w:vAlign w:val="center"/>
          </w:tcPr>
          <w:p w14:paraId="595B8CB4"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0.55</w:t>
            </w:r>
          </w:p>
        </w:tc>
        <w:tc>
          <w:tcPr>
            <w:tcW w:w="1390" w:type="dxa"/>
            <w:tcBorders>
              <w:top w:val="nil"/>
              <w:left w:val="nil"/>
              <w:bottom w:val="nil"/>
              <w:right w:val="nil"/>
            </w:tcBorders>
            <w:vAlign w:val="center"/>
          </w:tcPr>
          <w:p w14:paraId="2831C4F6"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4.07</w:t>
            </w:r>
          </w:p>
        </w:tc>
      </w:tr>
      <w:tr w:rsidR="005E631E" w:rsidRPr="007E5190" w14:paraId="7F18D298" w14:textId="77777777" w:rsidTr="005D0C61">
        <w:trPr>
          <w:trHeight w:val="432"/>
          <w:jc w:val="center"/>
        </w:trPr>
        <w:tc>
          <w:tcPr>
            <w:tcW w:w="1364" w:type="dxa"/>
            <w:tcBorders>
              <w:top w:val="nil"/>
              <w:left w:val="nil"/>
              <w:bottom w:val="nil"/>
              <w:right w:val="nil"/>
            </w:tcBorders>
            <w:vAlign w:val="center"/>
          </w:tcPr>
          <w:p w14:paraId="62FEA57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137633443</w:t>
            </w:r>
          </w:p>
        </w:tc>
        <w:tc>
          <w:tcPr>
            <w:tcW w:w="1231" w:type="dxa"/>
            <w:tcBorders>
              <w:top w:val="nil"/>
              <w:left w:val="nil"/>
              <w:bottom w:val="nil"/>
              <w:right w:val="nil"/>
            </w:tcBorders>
            <w:vAlign w:val="center"/>
          </w:tcPr>
          <w:p w14:paraId="5E1F9A8E"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44</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7D7913D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28FC4D7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7235C1CC"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1358A5F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-5.88</w:t>
            </w:r>
          </w:p>
        </w:tc>
        <w:tc>
          <w:tcPr>
            <w:tcW w:w="1710" w:type="dxa"/>
            <w:tcBorders>
              <w:top w:val="nil"/>
              <w:left w:val="nil"/>
              <w:bottom w:val="nil"/>
              <w:right w:val="nil"/>
            </w:tcBorders>
            <w:vAlign w:val="center"/>
          </w:tcPr>
          <w:p w14:paraId="4AE3120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04384E1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6.15</w:t>
            </w:r>
          </w:p>
        </w:tc>
      </w:tr>
      <w:tr w:rsidR="005E631E" w:rsidRPr="007E5190" w14:paraId="14D3F283" w14:textId="77777777" w:rsidTr="005D0C61">
        <w:trPr>
          <w:trHeight w:val="432"/>
          <w:jc w:val="center"/>
        </w:trPr>
        <w:tc>
          <w:tcPr>
            <w:tcW w:w="1364" w:type="dxa"/>
            <w:tcBorders>
              <w:top w:val="nil"/>
              <w:left w:val="nil"/>
              <w:bottom w:val="nil"/>
              <w:right w:val="nil"/>
            </w:tcBorders>
            <w:vAlign w:val="center"/>
          </w:tcPr>
          <w:p w14:paraId="7654164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156011190</w:t>
            </w:r>
          </w:p>
        </w:tc>
        <w:tc>
          <w:tcPr>
            <w:tcW w:w="1231" w:type="dxa"/>
            <w:tcBorders>
              <w:top w:val="nil"/>
              <w:left w:val="nil"/>
              <w:bottom w:val="nil"/>
              <w:right w:val="nil"/>
            </w:tcBorders>
            <w:vAlign w:val="center"/>
          </w:tcPr>
          <w:p w14:paraId="12E80581"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44</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6A27D9A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15D52FC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2E9614B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4EA6B31C"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-5.69</w:t>
            </w:r>
          </w:p>
        </w:tc>
        <w:tc>
          <w:tcPr>
            <w:tcW w:w="1710" w:type="dxa"/>
            <w:tcBorders>
              <w:top w:val="nil"/>
              <w:left w:val="nil"/>
              <w:bottom w:val="nil"/>
              <w:right w:val="nil"/>
            </w:tcBorders>
            <w:vAlign w:val="center"/>
          </w:tcPr>
          <w:p w14:paraId="6C321D3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59971A2C"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6.96</w:t>
            </w:r>
          </w:p>
        </w:tc>
      </w:tr>
      <w:tr w:rsidR="005E631E" w:rsidRPr="007E5190" w14:paraId="47143F41" w14:textId="77777777" w:rsidTr="005D0C61">
        <w:trPr>
          <w:trHeight w:val="432"/>
          <w:jc w:val="center"/>
        </w:trPr>
        <w:tc>
          <w:tcPr>
            <w:tcW w:w="1364" w:type="dxa"/>
            <w:tcBorders>
              <w:top w:val="nil"/>
              <w:left w:val="nil"/>
              <w:bottom w:val="nil"/>
              <w:right w:val="nil"/>
            </w:tcBorders>
            <w:vAlign w:val="center"/>
          </w:tcPr>
          <w:p w14:paraId="220B4DFA"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162962832</w:t>
            </w:r>
          </w:p>
        </w:tc>
        <w:tc>
          <w:tcPr>
            <w:tcW w:w="1231" w:type="dxa"/>
            <w:tcBorders>
              <w:top w:val="nil"/>
              <w:left w:val="nil"/>
              <w:bottom w:val="nil"/>
              <w:right w:val="nil"/>
            </w:tcBorders>
            <w:vAlign w:val="center"/>
          </w:tcPr>
          <w:p w14:paraId="26BB471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29</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46</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79A3EE76"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2100174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1B8A0D16"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1A24B5F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-5.72</w:t>
            </w:r>
          </w:p>
        </w:tc>
        <w:tc>
          <w:tcPr>
            <w:tcW w:w="1710" w:type="dxa"/>
            <w:tcBorders>
              <w:top w:val="nil"/>
              <w:left w:val="nil"/>
              <w:bottom w:val="nil"/>
              <w:right w:val="nil"/>
            </w:tcBorders>
            <w:vAlign w:val="center"/>
          </w:tcPr>
          <w:p w14:paraId="0D66C98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3B4E54B4"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6.34</w:t>
            </w:r>
          </w:p>
        </w:tc>
      </w:tr>
      <w:tr w:rsidR="005E631E" w:rsidRPr="007E5190" w14:paraId="6DF61C81" w14:textId="77777777" w:rsidTr="005D0C61">
        <w:trPr>
          <w:trHeight w:val="432"/>
          <w:jc w:val="center"/>
        </w:trPr>
        <w:tc>
          <w:tcPr>
            <w:tcW w:w="1364" w:type="dxa"/>
            <w:tcBorders>
              <w:top w:val="nil"/>
              <w:left w:val="nil"/>
              <w:bottom w:val="nil"/>
              <w:right w:val="nil"/>
            </w:tcBorders>
            <w:vAlign w:val="center"/>
          </w:tcPr>
          <w:p w14:paraId="6ECB6D7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163053220</w:t>
            </w:r>
          </w:p>
        </w:tc>
        <w:tc>
          <w:tcPr>
            <w:tcW w:w="1231" w:type="dxa"/>
            <w:tcBorders>
              <w:top w:val="nil"/>
              <w:left w:val="nil"/>
              <w:bottom w:val="nil"/>
              <w:right w:val="nil"/>
            </w:tcBorders>
            <w:vAlign w:val="center"/>
          </w:tcPr>
          <w:p w14:paraId="0D343C30"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30</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46</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5</w:t>
            </w:r>
          </w:p>
        </w:tc>
        <w:tc>
          <w:tcPr>
            <w:tcW w:w="1231" w:type="dxa"/>
            <w:tcBorders>
              <w:top w:val="nil"/>
              <w:left w:val="nil"/>
              <w:bottom w:val="nil"/>
              <w:right w:val="nil"/>
            </w:tcBorders>
            <w:vAlign w:val="center"/>
          </w:tcPr>
          <w:p w14:paraId="27F5C6F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bottom w:val="nil"/>
              <w:right w:val="nil"/>
            </w:tcBorders>
            <w:vAlign w:val="center"/>
          </w:tcPr>
          <w:p w14:paraId="1ADDECA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bottom w:val="nil"/>
              <w:right w:val="nil"/>
            </w:tcBorders>
            <w:vAlign w:val="center"/>
          </w:tcPr>
          <w:p w14:paraId="4ECCD274"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Yes</w:t>
            </w:r>
          </w:p>
        </w:tc>
        <w:tc>
          <w:tcPr>
            <w:tcW w:w="1390" w:type="dxa"/>
            <w:tcBorders>
              <w:top w:val="nil"/>
              <w:left w:val="nil"/>
              <w:bottom w:val="nil"/>
              <w:right w:val="nil"/>
            </w:tcBorders>
            <w:vAlign w:val="center"/>
          </w:tcPr>
          <w:p w14:paraId="22B29BC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-5.82</w:t>
            </w:r>
          </w:p>
        </w:tc>
        <w:tc>
          <w:tcPr>
            <w:tcW w:w="1710" w:type="dxa"/>
            <w:tcBorders>
              <w:top w:val="nil"/>
              <w:left w:val="nil"/>
              <w:bottom w:val="nil"/>
              <w:right w:val="nil"/>
            </w:tcBorders>
            <w:vAlign w:val="center"/>
          </w:tcPr>
          <w:p w14:paraId="390F3A39"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0.56</w:t>
            </w:r>
          </w:p>
        </w:tc>
        <w:tc>
          <w:tcPr>
            <w:tcW w:w="1390" w:type="dxa"/>
            <w:tcBorders>
              <w:top w:val="nil"/>
              <w:left w:val="nil"/>
              <w:bottom w:val="nil"/>
              <w:right w:val="nil"/>
            </w:tcBorders>
            <w:vAlign w:val="center"/>
          </w:tcPr>
          <w:p w14:paraId="18396C2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6.77</w:t>
            </w:r>
          </w:p>
        </w:tc>
      </w:tr>
      <w:tr w:rsidR="005D0C61" w:rsidRPr="007E5190" w14:paraId="1C19D441" w14:textId="77777777" w:rsidTr="005D0C61">
        <w:trPr>
          <w:trHeight w:val="432"/>
          <w:jc w:val="center"/>
        </w:trPr>
        <w:tc>
          <w:tcPr>
            <w:tcW w:w="1364" w:type="dxa"/>
            <w:tcBorders>
              <w:top w:val="nil"/>
              <w:left w:val="nil"/>
              <w:right w:val="nil"/>
            </w:tcBorders>
            <w:vAlign w:val="center"/>
          </w:tcPr>
          <w:p w14:paraId="15B07DFF"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eastAsia="Times New Roman" w:hAnsi="Times New Roman" w:cs="Times New Roman"/>
                <w:color w:val="0D0D0D" w:themeColor="text1" w:themeTint="F2"/>
                <w:kern w:val="0"/>
                <w14:ligatures w14:val="none"/>
              </w:rPr>
              <w:t>168296925</w:t>
            </w:r>
          </w:p>
        </w:tc>
        <w:tc>
          <w:tcPr>
            <w:tcW w:w="1231" w:type="dxa"/>
            <w:tcBorders>
              <w:top w:val="nil"/>
              <w:left w:val="nil"/>
              <w:right w:val="nil"/>
            </w:tcBorders>
            <w:vAlign w:val="center"/>
          </w:tcPr>
          <w:p w14:paraId="2EDE604D"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C</w:t>
            </w:r>
            <w:r w:rsidRPr="007E5190">
              <w:rPr>
                <w:rFonts w:ascii="Times New Roman" w:hAnsi="Times New Roman" w:cs="Times New Roman"/>
                <w:color w:val="0D0D0D" w:themeColor="text1" w:themeTint="F2"/>
                <w:sz w:val="22"/>
                <w:szCs w:val="22"/>
                <w:vertAlign w:val="subscript"/>
              </w:rPr>
              <w:t>18</w:t>
            </w:r>
            <w:r w:rsidRPr="007E5190">
              <w:rPr>
                <w:rFonts w:ascii="Times New Roman" w:hAnsi="Times New Roman" w:cs="Times New Roman"/>
                <w:color w:val="0D0D0D" w:themeColor="text1" w:themeTint="F2"/>
                <w:sz w:val="22"/>
                <w:szCs w:val="22"/>
              </w:rPr>
              <w:t>H</w:t>
            </w:r>
            <w:r w:rsidRPr="007E5190">
              <w:rPr>
                <w:rFonts w:ascii="Times New Roman" w:hAnsi="Times New Roman" w:cs="Times New Roman"/>
                <w:color w:val="0D0D0D" w:themeColor="text1" w:themeTint="F2"/>
                <w:sz w:val="22"/>
                <w:szCs w:val="22"/>
                <w:vertAlign w:val="subscript"/>
              </w:rPr>
              <w:t>16</w:t>
            </w:r>
            <w:r w:rsidRPr="007E5190">
              <w:rPr>
                <w:rFonts w:ascii="Times New Roman" w:hAnsi="Times New Roman" w:cs="Times New Roman"/>
                <w:color w:val="0D0D0D" w:themeColor="text1" w:themeTint="F2"/>
                <w:sz w:val="22"/>
                <w:szCs w:val="22"/>
              </w:rPr>
              <w:t>O</w:t>
            </w:r>
            <w:r w:rsidRPr="007E5190">
              <w:rPr>
                <w:rFonts w:ascii="Times New Roman" w:hAnsi="Times New Roman" w:cs="Times New Roman"/>
                <w:color w:val="0D0D0D" w:themeColor="text1" w:themeTint="F2"/>
                <w:sz w:val="22"/>
                <w:szCs w:val="22"/>
                <w:vertAlign w:val="subscript"/>
              </w:rPr>
              <w:t>6</w:t>
            </w:r>
          </w:p>
        </w:tc>
        <w:tc>
          <w:tcPr>
            <w:tcW w:w="1231" w:type="dxa"/>
            <w:tcBorders>
              <w:top w:val="nil"/>
              <w:left w:val="nil"/>
              <w:right w:val="nil"/>
            </w:tcBorders>
            <w:vAlign w:val="center"/>
          </w:tcPr>
          <w:p w14:paraId="24213A7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High</w:t>
            </w:r>
          </w:p>
        </w:tc>
        <w:tc>
          <w:tcPr>
            <w:tcW w:w="1121" w:type="dxa"/>
            <w:tcBorders>
              <w:top w:val="nil"/>
              <w:left w:val="nil"/>
              <w:right w:val="nil"/>
            </w:tcBorders>
            <w:vAlign w:val="center"/>
          </w:tcPr>
          <w:p w14:paraId="29CC0467"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084" w:type="dxa"/>
            <w:tcBorders>
              <w:top w:val="nil"/>
              <w:left w:val="nil"/>
              <w:right w:val="nil"/>
            </w:tcBorders>
            <w:vAlign w:val="center"/>
          </w:tcPr>
          <w:p w14:paraId="12D1A6DB"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No</w:t>
            </w:r>
          </w:p>
        </w:tc>
        <w:tc>
          <w:tcPr>
            <w:tcW w:w="1390" w:type="dxa"/>
            <w:tcBorders>
              <w:top w:val="nil"/>
              <w:left w:val="nil"/>
              <w:right w:val="nil"/>
            </w:tcBorders>
            <w:vAlign w:val="center"/>
          </w:tcPr>
          <w:p w14:paraId="0FFAE552"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-6.01</w:t>
            </w:r>
          </w:p>
        </w:tc>
        <w:tc>
          <w:tcPr>
            <w:tcW w:w="1710" w:type="dxa"/>
            <w:tcBorders>
              <w:top w:val="nil"/>
              <w:left w:val="nil"/>
              <w:right w:val="nil"/>
            </w:tcBorders>
            <w:vAlign w:val="center"/>
          </w:tcPr>
          <w:p w14:paraId="273C326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0.55</w:t>
            </w:r>
          </w:p>
        </w:tc>
        <w:tc>
          <w:tcPr>
            <w:tcW w:w="1390" w:type="dxa"/>
            <w:tcBorders>
              <w:top w:val="nil"/>
              <w:left w:val="nil"/>
              <w:right w:val="nil"/>
            </w:tcBorders>
            <w:vAlign w:val="center"/>
          </w:tcPr>
          <w:p w14:paraId="4B65D143" w14:textId="77777777" w:rsidR="002D623D" w:rsidRPr="007E5190" w:rsidRDefault="002D623D" w:rsidP="002D623D">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sz w:val="22"/>
                <w:szCs w:val="22"/>
              </w:rPr>
              <w:t>3.21</w:t>
            </w:r>
          </w:p>
        </w:tc>
      </w:tr>
    </w:tbl>
    <w:p w14:paraId="10059777" w14:textId="77777777" w:rsidR="00207A99" w:rsidRPr="007E5190" w:rsidRDefault="00207A99" w:rsidP="00D75BEE">
      <w:pPr>
        <w:jc w:val="both"/>
        <w:rPr>
          <w:rFonts w:ascii="Times New Roman" w:hAnsi="Times New Roman" w:cs="Times New Roman"/>
          <w:color w:val="0D0D0D" w:themeColor="text1" w:themeTint="F2"/>
        </w:rPr>
      </w:pPr>
    </w:p>
    <w:p w14:paraId="104BFABB" w14:textId="4E6290F2"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predicted pharmacokinetic (ADMET) parameters are presented in </w:t>
      </w:r>
      <w:r w:rsidR="007A12BF" w:rsidRPr="007E5190">
        <w:rPr>
          <w:rFonts w:ascii="Times New Roman" w:hAnsi="Times New Roman" w:cs="Times New Roman"/>
          <w:color w:val="4472C4" w:themeColor="accent1"/>
        </w:rPr>
        <w:fldChar w:fldCharType="begin"/>
      </w:r>
      <w:r w:rsidR="007A12BF" w:rsidRPr="007E5190">
        <w:rPr>
          <w:rFonts w:ascii="Times New Roman" w:hAnsi="Times New Roman" w:cs="Times New Roman"/>
          <w:color w:val="4472C4" w:themeColor="accent1"/>
        </w:rPr>
        <w:instrText xml:space="preserve"> REF _Ref213061024 \h </w:instrText>
      </w:r>
      <w:r w:rsidR="00EF7F63" w:rsidRPr="007E5190">
        <w:rPr>
          <w:rFonts w:ascii="Times New Roman" w:hAnsi="Times New Roman" w:cs="Times New Roman"/>
          <w:color w:val="4472C4" w:themeColor="accent1"/>
        </w:rPr>
        <w:instrText xml:space="preserve"> \* MERGEFORMAT </w:instrText>
      </w:r>
      <w:r w:rsidR="007A12BF" w:rsidRPr="007E5190">
        <w:rPr>
          <w:rFonts w:ascii="Times New Roman" w:hAnsi="Times New Roman" w:cs="Times New Roman"/>
          <w:color w:val="4472C4" w:themeColor="accent1"/>
        </w:rPr>
      </w:r>
      <w:r w:rsidR="007A12BF" w:rsidRPr="007E5190">
        <w:rPr>
          <w:rFonts w:ascii="Times New Roman" w:hAnsi="Times New Roman" w:cs="Times New Roman"/>
          <w:color w:val="4472C4" w:themeColor="accent1"/>
        </w:rPr>
        <w:fldChar w:fldCharType="separate"/>
      </w:r>
      <w:r w:rsidR="007A12BF" w:rsidRPr="007E5190">
        <w:rPr>
          <w:rFonts w:ascii="Times New Roman" w:hAnsi="Times New Roman" w:cs="Times New Roman"/>
          <w:color w:val="4472C4" w:themeColor="accent1"/>
        </w:rPr>
        <w:t xml:space="preserve">Table </w:t>
      </w:r>
      <w:r w:rsidR="007A12BF" w:rsidRPr="007E5190">
        <w:rPr>
          <w:rFonts w:ascii="Times New Roman" w:hAnsi="Times New Roman" w:cs="Times New Roman"/>
          <w:noProof/>
          <w:color w:val="4472C4" w:themeColor="accent1"/>
        </w:rPr>
        <w:t>7</w:t>
      </w:r>
      <w:r w:rsidR="007A12BF" w:rsidRPr="007E5190">
        <w:rPr>
          <w:rFonts w:ascii="Times New Roman" w:hAnsi="Times New Roman" w:cs="Times New Roman"/>
          <w:color w:val="4472C4" w:themeColor="accent1"/>
        </w:rPr>
        <w:fldChar w:fldCharType="end"/>
      </w:r>
      <w:r w:rsidR="005B5C58" w:rsidRPr="007E5190">
        <w:rPr>
          <w:rFonts w:ascii="Times New Roman" w:hAnsi="Times New Roman" w:cs="Times New Roman"/>
          <w:color w:val="0D0D0D" w:themeColor="text1" w:themeTint="F2"/>
        </w:rPr>
        <w:t xml:space="preserve">. </w:t>
      </w:r>
      <w:r w:rsidR="00191284" w:rsidRPr="007E5190">
        <w:rPr>
          <w:rFonts w:ascii="Times New Roman" w:hAnsi="Times New Roman" w:cs="Times New Roman"/>
          <w:color w:val="0D0D0D" w:themeColor="text1" w:themeTint="F2"/>
        </w:rPr>
        <w:t>K</w:t>
      </w:r>
      <w:r w:rsidRPr="007E5190">
        <w:rPr>
          <w:rFonts w:ascii="Times New Roman" w:hAnsi="Times New Roman" w:cs="Times New Roman"/>
          <w:color w:val="0D0D0D" w:themeColor="text1" w:themeTint="F2"/>
        </w:rPr>
        <w:t xml:space="preserve">ey </w:t>
      </w:r>
      <w:r w:rsidR="007A12BF" w:rsidRPr="007E5190">
        <w:rPr>
          <w:rFonts w:ascii="Times New Roman" w:hAnsi="Times New Roman" w:cs="Times New Roman"/>
          <w:color w:val="0D0D0D" w:themeColor="text1" w:themeTint="F2"/>
        </w:rPr>
        <w:t>findings were</w:t>
      </w:r>
      <w:r w:rsidRPr="007E5190">
        <w:rPr>
          <w:rFonts w:ascii="Times New Roman" w:hAnsi="Times New Roman" w:cs="Times New Roman"/>
          <w:color w:val="0D0D0D" w:themeColor="text1" w:themeTint="F2"/>
        </w:rPr>
        <w:t xml:space="preserve"> that the top-ranked compounds were all predicted to have high gastrointestinal (GI) absorption. </w:t>
      </w:r>
      <w:r w:rsidRPr="007E5190">
        <w:rPr>
          <w:rFonts w:ascii="Times New Roman" w:hAnsi="Times New Roman" w:cs="Times New Roman"/>
          <w:color w:val="0D0D0D" w:themeColor="text1" w:themeTint="F2"/>
        </w:rPr>
        <w:lastRenderedPageBreak/>
        <w:t>Furthermore, none of the lead triterpenoid analogues were predicted to be blood-brain barrier (BBB) permeant, a favorable safety feature that suggests a low risk of central nervous system side effects. While several compounds were identified as P-glycoprotein (P-</w:t>
      </w:r>
      <w:proofErr w:type="spellStart"/>
      <w:r w:rsidRPr="007E5190">
        <w:rPr>
          <w:rFonts w:ascii="Times New Roman" w:hAnsi="Times New Roman" w:cs="Times New Roman"/>
          <w:color w:val="0D0D0D" w:themeColor="text1" w:themeTint="F2"/>
        </w:rPr>
        <w:t>gp</w:t>
      </w:r>
      <w:proofErr w:type="spellEnd"/>
      <w:r w:rsidRPr="007E5190">
        <w:rPr>
          <w:rFonts w:ascii="Times New Roman" w:hAnsi="Times New Roman" w:cs="Times New Roman"/>
          <w:color w:val="0D0D0D" w:themeColor="text1" w:themeTint="F2"/>
        </w:rPr>
        <w:t xml:space="preserve">) substrates, they all showed a high predicted oral bioavailability score (0.55-0.56). </w:t>
      </w:r>
      <w:r w:rsidR="00DE02D0" w:rsidRPr="007E5190">
        <w:rPr>
          <w:rFonts w:ascii="Times New Roman" w:hAnsi="Times New Roman" w:cs="Times New Roman"/>
          <w:color w:val="0D0D0D" w:themeColor="text1" w:themeTint="F2"/>
        </w:rPr>
        <w:t>The selection of the lead analogues as high-priority candidates for MD simulation was justified by their strong binding affinities combined with their favorable ADMET profiles.</w:t>
      </w:r>
    </w:p>
    <w:p w14:paraId="4DDEA496" w14:textId="078A5D20" w:rsidR="00794D96" w:rsidRPr="007E5190" w:rsidRDefault="00794D96" w:rsidP="00DD06FA">
      <w:pPr>
        <w:pStyle w:val="Heading2"/>
        <w:rPr>
          <w:rFonts w:cs="Times New Roman"/>
        </w:rPr>
      </w:pPr>
      <w:r w:rsidRPr="007E5190">
        <w:rPr>
          <w:rFonts w:cs="Times New Roman"/>
        </w:rPr>
        <w:t>Molecular Dynamics Simulation</w:t>
      </w:r>
    </w:p>
    <w:p w14:paraId="715CE15C" w14:textId="54B0FDCB" w:rsidR="00794D96" w:rsidRPr="007E5190" w:rsidRDefault="00DE02D0"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All-atom molecular dynamics (MD) simulations of 125 ns were performed on the four complexes. The purpose of these simulations was to rigorously validate the static binding poses and interaction networks (previously identified in </w:t>
      </w:r>
      <w:r w:rsidRPr="007E5190">
        <w:rPr>
          <w:rFonts w:ascii="Times New Roman" w:hAnsi="Times New Roman" w:cs="Times New Roman"/>
          <w:i/>
          <w:iCs/>
          <w:color w:val="0D0D0D" w:themeColor="text1" w:themeTint="F2"/>
        </w:rPr>
        <w:t>Analysis of Predicted Binding Modes</w:t>
      </w:r>
      <w:r w:rsidRPr="007E5190">
        <w:rPr>
          <w:rFonts w:ascii="Times New Roman" w:hAnsi="Times New Roman" w:cs="Times New Roman"/>
          <w:color w:val="0D0D0D" w:themeColor="text1" w:themeTint="F2"/>
        </w:rPr>
        <w:t xml:space="preserve">) and to explore the dynamic behavior of the lead compounds within a more realistic physiological environment. </w:t>
      </w:r>
      <w:r w:rsidR="00794D96" w:rsidRPr="007E5190">
        <w:rPr>
          <w:rFonts w:ascii="Times New Roman" w:hAnsi="Times New Roman" w:cs="Times New Roman"/>
          <w:color w:val="0D0D0D" w:themeColor="text1" w:themeTint="F2"/>
        </w:rPr>
        <w:t xml:space="preserve">Static docking, while powerful for screening, provides a single, high-scoring snapshot. </w:t>
      </w:r>
      <w:r w:rsidRPr="007E5190">
        <w:rPr>
          <w:rFonts w:ascii="Times New Roman" w:hAnsi="Times New Roman" w:cs="Times New Roman"/>
          <w:color w:val="0D0D0D" w:themeColor="text1" w:themeTint="F2"/>
        </w:rPr>
        <w:t>This allowed for the stability of protein-ligand contacts, the system's convergence to an equilibrium state, and the overall structural integrity of the bound protein to be assessed, thus providing a much more rigorous test of binding stability.</w:t>
      </w:r>
    </w:p>
    <w:p w14:paraId="133E8295" w14:textId="2360AE79" w:rsidR="00794D96" w:rsidRPr="007E5190" w:rsidRDefault="00794D96" w:rsidP="00DD06FA">
      <w:pPr>
        <w:pStyle w:val="Heading2"/>
        <w:rPr>
          <w:rFonts w:cs="Times New Roman"/>
        </w:rPr>
      </w:pPr>
      <w:r w:rsidRPr="007E5190">
        <w:rPr>
          <w:rFonts w:cs="Times New Roman"/>
        </w:rPr>
        <w:t>Trajectory Pre-analysis and Correction</w:t>
      </w:r>
    </w:p>
    <w:p w14:paraId="602440DB" w14:textId="77777777"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Before any biophysical analysis could be performed, the raw simulation output required essential pre-processing. The five 25 ns production runs for each of the four complexes were first concatenated into a single 125 ns production trajectory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trjcat</w:t>
      </w:r>
      <w:proofErr w:type="spellEnd"/>
      <w:r w:rsidRPr="007E5190">
        <w:rPr>
          <w:rFonts w:ascii="Times New Roman" w:hAnsi="Times New Roman" w:cs="Times New Roman"/>
          <w:color w:val="0D0D0D" w:themeColor="text1" w:themeTint="F2"/>
        </w:rPr>
        <w:t xml:space="preserve">. This raw trajectory, however, contains simulation artifacts from the Periodic Boundary Conditions (PBC), such as the complex appearing to "jump" across the box as it traverses the boundary. To create a continuous, analyzable trajectory, these artifacts were corrected using </w:t>
      </w:r>
      <w:proofErr w:type="spellStart"/>
      <w:r w:rsidRPr="007E5190">
        <w:rPr>
          <w:rFonts w:ascii="Times New Roman" w:hAnsi="Times New Roman" w:cs="Times New Roman"/>
          <w:color w:val="0D0D0D" w:themeColor="text1" w:themeTint="F2"/>
        </w:rPr>
        <w:t>gmx</w:t>
      </w:r>
      <w:proofErr w:type="spellEnd"/>
      <w:r w:rsidRPr="007E5190">
        <w:rPr>
          <w:rFonts w:ascii="Times New Roman" w:hAnsi="Times New Roman" w:cs="Times New Roman"/>
          <w:color w:val="0D0D0D" w:themeColor="text1" w:themeTint="F2"/>
        </w:rPr>
        <w:t xml:space="preserve"> </w:t>
      </w:r>
      <w:proofErr w:type="spellStart"/>
      <w:r w:rsidRPr="007E5190">
        <w:rPr>
          <w:rFonts w:ascii="Times New Roman" w:hAnsi="Times New Roman" w:cs="Times New Roman"/>
          <w:color w:val="0D0D0D" w:themeColor="text1" w:themeTint="F2"/>
        </w:rPr>
        <w:t>trjconv</w:t>
      </w:r>
      <w:proofErr w:type="spellEnd"/>
      <w:r w:rsidRPr="007E5190">
        <w:rPr>
          <w:rFonts w:ascii="Times New Roman" w:hAnsi="Times New Roman" w:cs="Times New Roman"/>
          <w:color w:val="0D0D0D" w:themeColor="text1" w:themeTint="F2"/>
        </w:rPr>
        <w:t xml:space="preserve">. This step centered the protein-ligand complex in the simulation box and performed a rotational and translational fit to the reference starting structure. This "cleaning" process removes all non-physical jumps and ensures that all subsequent analyses, such as RMSD and </w:t>
      </w:r>
      <w:proofErr w:type="spellStart"/>
      <w:r w:rsidRPr="007E5190">
        <w:rPr>
          <w:rFonts w:ascii="Times New Roman" w:hAnsi="Times New Roman" w:cs="Times New Roman"/>
          <w:color w:val="0D0D0D" w:themeColor="text1" w:themeTint="F2"/>
        </w:rPr>
        <w:t>Rg</w:t>
      </w:r>
      <w:proofErr w:type="spellEnd"/>
      <w:r w:rsidRPr="007E5190">
        <w:rPr>
          <w:rFonts w:ascii="Times New Roman" w:hAnsi="Times New Roman" w:cs="Times New Roman"/>
          <w:color w:val="0D0D0D" w:themeColor="text1" w:themeTint="F2"/>
        </w:rPr>
        <w:t>, are calculated on a meaningful, continuous trajectory.</w:t>
      </w:r>
    </w:p>
    <w:p w14:paraId="69D8EA45" w14:textId="774BF272" w:rsidR="00794D96" w:rsidRPr="007E5190" w:rsidRDefault="00794D96" w:rsidP="00DD06FA">
      <w:pPr>
        <w:pStyle w:val="Heading2"/>
        <w:rPr>
          <w:rFonts w:cs="Times New Roman"/>
        </w:rPr>
      </w:pPr>
      <w:r w:rsidRPr="007E5190">
        <w:rPr>
          <w:rFonts w:cs="Times New Roman"/>
        </w:rPr>
        <w:t>Structural Stability Analysis</w:t>
      </w:r>
    </w:p>
    <w:p w14:paraId="41A05BAB" w14:textId="3C2FB682" w:rsidR="00794D96" w:rsidRPr="007E5190" w:rsidRDefault="00C457C3"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Following trajectory correction, the global structural stability of the protein-ligand complexes was assessed to confirm convergence to a stable equilibrium. The Root Mean Square Deviation (RMSD) of the protein backbone serves as a primary metric for structural deviation from the initial crystal conformation.</w:t>
      </w:r>
    </w:p>
    <w:p w14:paraId="3FE9799A" w14:textId="567085BE" w:rsidR="00794D96" w:rsidRPr="007E5190" w:rsidRDefault="00794D96" w:rsidP="00DD06FA">
      <w:pPr>
        <w:pStyle w:val="Heading2"/>
        <w:rPr>
          <w:rFonts w:cs="Times New Roman"/>
        </w:rPr>
      </w:pPr>
      <w:r w:rsidRPr="007E5190">
        <w:rPr>
          <w:rFonts w:cs="Times New Roman"/>
        </w:rPr>
        <w:t>Root Mean Square Deviation (RMSD)</w:t>
      </w:r>
    </w:p>
    <w:p w14:paraId="7AEAD18C" w14:textId="5FE60A11"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The RMSD plots (</w:t>
      </w:r>
      <w:r w:rsidR="00EF7F63" w:rsidRPr="007E5190">
        <w:rPr>
          <w:rFonts w:ascii="Times New Roman" w:hAnsi="Times New Roman" w:cs="Times New Roman"/>
          <w:color w:val="4472C4" w:themeColor="accent1"/>
        </w:rPr>
        <w:fldChar w:fldCharType="begin"/>
      </w:r>
      <w:r w:rsidR="00EF7F63" w:rsidRPr="007E5190">
        <w:rPr>
          <w:rFonts w:ascii="Times New Roman" w:hAnsi="Times New Roman" w:cs="Times New Roman"/>
          <w:color w:val="4472C4" w:themeColor="accent1"/>
        </w:rPr>
        <w:instrText xml:space="preserve"> REF _Ref213081273 \h  \* MERGEFORMAT </w:instrText>
      </w:r>
      <w:r w:rsidR="00EF7F63" w:rsidRPr="007E5190">
        <w:rPr>
          <w:rFonts w:ascii="Times New Roman" w:hAnsi="Times New Roman" w:cs="Times New Roman"/>
          <w:color w:val="4472C4" w:themeColor="accent1"/>
        </w:rPr>
      </w:r>
      <w:r w:rsidR="00EF7F63" w:rsidRPr="007E5190">
        <w:rPr>
          <w:rFonts w:ascii="Times New Roman" w:hAnsi="Times New Roman" w:cs="Times New Roman"/>
          <w:color w:val="4472C4" w:themeColor="accent1"/>
        </w:rPr>
        <w:fldChar w:fldCharType="separate"/>
      </w:r>
      <w:r w:rsidR="00EF7F63" w:rsidRPr="007E5190">
        <w:rPr>
          <w:rFonts w:ascii="Times New Roman" w:hAnsi="Times New Roman" w:cs="Times New Roman"/>
          <w:color w:val="4472C4" w:themeColor="accent1"/>
        </w:rPr>
        <w:t xml:space="preserve">Figure </w:t>
      </w:r>
      <w:r w:rsidR="00EF7F63" w:rsidRPr="007E5190">
        <w:rPr>
          <w:rFonts w:ascii="Times New Roman" w:hAnsi="Times New Roman" w:cs="Times New Roman"/>
          <w:color w:val="4472C4" w:themeColor="accent1"/>
        </w:rPr>
        <w:fldChar w:fldCharType="end"/>
      </w:r>
      <w:r w:rsidR="008420C4" w:rsidRPr="007E5190">
        <w:rPr>
          <w:rFonts w:ascii="Times New Roman" w:hAnsi="Times New Roman" w:cs="Times New Roman"/>
          <w:color w:val="4472C4" w:themeColor="accent1"/>
        </w:rPr>
        <w:t>4</w:t>
      </w:r>
      <w:r w:rsidRPr="007E5190">
        <w:rPr>
          <w:rFonts w:ascii="Times New Roman" w:hAnsi="Times New Roman" w:cs="Times New Roman"/>
          <w:color w:val="0D0D0D" w:themeColor="text1" w:themeTint="F2"/>
        </w:rPr>
        <w:t xml:space="preserve">) </w:t>
      </w:r>
      <w:r w:rsidR="008D335A" w:rsidRPr="007E5190">
        <w:rPr>
          <w:rFonts w:ascii="Times New Roman" w:hAnsi="Times New Roman" w:cs="Times New Roman"/>
          <w:color w:val="0D0D0D" w:themeColor="text1" w:themeTint="F2"/>
        </w:rPr>
        <w:t xml:space="preserve">illustrate the system's convergence to equilibrium. An initial rise in RMSD was observed for all four complexes during the first 20–25 ns as the systems relaxed in the solvated environment. Following this equilibration phase, a stable plateau was achieved by all four trajectories, with tight fluctuations around an average of </w:t>
      </w:r>
      <w:r w:rsidR="008D335A" w:rsidRPr="00AE559E">
        <w:rPr>
          <w:rFonts w:ascii="Times New Roman" w:hAnsi="Times New Roman" w:cs="Times New Roman"/>
          <w:color w:val="0D0D0D" w:themeColor="text1" w:themeTint="F2"/>
        </w:rPr>
        <w:t>0.15–0.16 nm</w:t>
      </w:r>
      <w:r w:rsidR="008D335A" w:rsidRPr="007E5190">
        <w:rPr>
          <w:rFonts w:ascii="Times New Roman" w:hAnsi="Times New Roman" w:cs="Times New Roman"/>
          <w:color w:val="0D0D0D" w:themeColor="text1" w:themeTint="F2"/>
        </w:rPr>
        <w:t xml:space="preserve"> for the remaining 100 ns. </w:t>
      </w:r>
      <w:r w:rsidR="008D335A" w:rsidRPr="007E5190">
        <w:rPr>
          <w:rFonts w:ascii="Times New Roman" w:hAnsi="Times New Roman" w:cs="Times New Roman"/>
          <w:color w:val="0D0D0D" w:themeColor="text1" w:themeTint="F2"/>
        </w:rPr>
        <w:lastRenderedPageBreak/>
        <w:t>This absence of significant drift served as confirmation that a stable equilibrium was reached and that the protein's overall fold was not disrupted or destabilized by ligand binding.</w:t>
      </w:r>
    </w:p>
    <w:p w14:paraId="407693E5" w14:textId="77777777" w:rsidR="005B0778" w:rsidRPr="007E5190" w:rsidRDefault="005B0778" w:rsidP="005B0778">
      <w:pPr>
        <w:pStyle w:val="Heading2"/>
        <w:rPr>
          <w:rFonts w:cs="Times New Roman"/>
        </w:rPr>
      </w:pPr>
      <w:r w:rsidRPr="007E5190">
        <w:rPr>
          <w:rFonts w:cs="Times New Roman"/>
        </w:rPr>
        <w:t>Ligand Binding Stability</w:t>
      </w:r>
    </w:p>
    <w:p w14:paraId="06C31FB1" w14:textId="794EBA49" w:rsidR="00FA3701" w:rsidRPr="007E5190" w:rsidRDefault="005B0778"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To assess the stability of the ligand within the binding pocket, a Minimum Distance analysis was performed (</w:t>
      </w:r>
      <w:r w:rsidRPr="007E5190">
        <w:rPr>
          <w:rFonts w:ascii="Times New Roman" w:hAnsi="Times New Roman" w:cs="Times New Roman"/>
          <w:color w:val="4472C4" w:themeColor="accent1"/>
        </w:rPr>
        <w:fldChar w:fldCharType="begin"/>
      </w:r>
      <w:r w:rsidRPr="007E5190">
        <w:rPr>
          <w:rFonts w:ascii="Times New Roman" w:hAnsi="Times New Roman" w:cs="Times New Roman"/>
          <w:color w:val="4472C4" w:themeColor="accent1"/>
        </w:rPr>
        <w:instrText xml:space="preserve"> REF _Ref213081537 \h  \* MERGEFORMAT </w:instrText>
      </w:r>
      <w:r w:rsidRPr="007E5190">
        <w:rPr>
          <w:rFonts w:ascii="Times New Roman" w:hAnsi="Times New Roman" w:cs="Times New Roman"/>
          <w:color w:val="4472C4" w:themeColor="accent1"/>
        </w:rPr>
      </w:r>
      <w:r w:rsidRPr="007E5190">
        <w:rPr>
          <w:rFonts w:ascii="Times New Roman" w:hAnsi="Times New Roman" w:cs="Times New Roman"/>
          <w:color w:val="4472C4" w:themeColor="accent1"/>
        </w:rPr>
        <w:fldChar w:fldCharType="separate"/>
      </w:r>
      <w:r w:rsidRPr="007E5190">
        <w:rPr>
          <w:rFonts w:ascii="Times New Roman" w:hAnsi="Times New Roman" w:cs="Times New Roman"/>
          <w:color w:val="4472C4" w:themeColor="accent1"/>
        </w:rPr>
        <w:t>Figure 9</w:t>
      </w:r>
      <w:r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xml:space="preserve">) rather than ligand RMSD, as the latter can be influenced by rotational symmetries within the pocket. The results definitively show that the Hederagenin and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analogues maintained a consistent proximity of ~0.15–0.20 nm to the protein residues throughout the 125 ns simulation. This stable distance, coupled with the persistent intermolecular contacts </w:t>
      </w:r>
      <w:r w:rsidR="00BB33ED" w:rsidRPr="007E5190">
        <w:rPr>
          <w:rFonts w:ascii="Times New Roman" w:hAnsi="Times New Roman" w:cs="Times New Roman"/>
        </w:rPr>
        <w:t>(</w:t>
      </w:r>
      <w:r w:rsidR="00BB33ED" w:rsidRPr="007E5190">
        <w:rPr>
          <w:rFonts w:ascii="Times New Roman" w:hAnsi="Times New Roman" w:cs="Times New Roman"/>
          <w:color w:val="4472C4" w:themeColor="accent1"/>
        </w:rPr>
        <w:fldChar w:fldCharType="begin"/>
      </w:r>
      <w:r w:rsidR="00BB33ED" w:rsidRPr="007E5190">
        <w:rPr>
          <w:rFonts w:ascii="Times New Roman" w:hAnsi="Times New Roman" w:cs="Times New Roman"/>
          <w:color w:val="4472C4" w:themeColor="accent1"/>
        </w:rPr>
        <w:instrText xml:space="preserve"> REF _Ref213081555 \h  \* MERGEFORMAT </w:instrText>
      </w:r>
      <w:r w:rsidR="00BB33ED" w:rsidRPr="007E5190">
        <w:rPr>
          <w:rFonts w:ascii="Times New Roman" w:hAnsi="Times New Roman" w:cs="Times New Roman"/>
          <w:color w:val="4472C4" w:themeColor="accent1"/>
        </w:rPr>
      </w:r>
      <w:r w:rsidR="00BB33ED" w:rsidRPr="007E5190">
        <w:rPr>
          <w:rFonts w:ascii="Times New Roman" w:hAnsi="Times New Roman" w:cs="Times New Roman"/>
          <w:color w:val="4472C4" w:themeColor="accent1"/>
        </w:rPr>
        <w:fldChar w:fldCharType="separate"/>
      </w:r>
      <w:r w:rsidR="00BB33ED" w:rsidRPr="007E5190">
        <w:rPr>
          <w:rFonts w:ascii="Times New Roman" w:hAnsi="Times New Roman" w:cs="Times New Roman"/>
          <w:color w:val="4472C4" w:themeColor="accent1"/>
        </w:rPr>
        <w:t xml:space="preserve">Figure </w:t>
      </w:r>
      <w:r w:rsidR="00BB33ED" w:rsidRPr="007E5190">
        <w:rPr>
          <w:rFonts w:ascii="Times New Roman" w:hAnsi="Times New Roman" w:cs="Times New Roman"/>
          <w:noProof/>
          <w:color w:val="4472C4" w:themeColor="accent1"/>
        </w:rPr>
        <w:t>10</w:t>
      </w:r>
      <w:r w:rsidR="00BB33ED" w:rsidRPr="007E5190">
        <w:rPr>
          <w:rFonts w:ascii="Times New Roman" w:hAnsi="Times New Roman" w:cs="Times New Roman"/>
          <w:color w:val="4472C4" w:themeColor="accent1"/>
        </w:rPr>
        <w:fldChar w:fldCharType="end"/>
      </w:r>
      <w:r w:rsidR="00BB33ED" w:rsidRPr="007E5190">
        <w:rPr>
          <w:rFonts w:ascii="Times New Roman" w:hAnsi="Times New Roman" w:cs="Times New Roman"/>
        </w:rPr>
        <w:t xml:space="preserve">), </w:t>
      </w:r>
      <w:r w:rsidRPr="007E5190">
        <w:rPr>
          <w:rFonts w:ascii="Times New Roman" w:hAnsi="Times New Roman" w:cs="Times New Roman"/>
          <w:color w:val="0D0D0D" w:themeColor="text1" w:themeTint="F2"/>
        </w:rPr>
        <w:t>confirms that the ligands remained securely anchored within the active site without dissociation.</w:t>
      </w:r>
    </w:p>
    <w:p w14:paraId="1D75E870" w14:textId="788DDACC" w:rsidR="00794D96" w:rsidRPr="007E5190" w:rsidRDefault="00794D96" w:rsidP="00DD06FA">
      <w:pPr>
        <w:pStyle w:val="Heading2"/>
        <w:rPr>
          <w:rFonts w:cs="Times New Roman"/>
        </w:rPr>
      </w:pPr>
      <w:r w:rsidRPr="007E5190">
        <w:rPr>
          <w:rFonts w:cs="Times New Roman"/>
        </w:rPr>
        <w:t>Radius of Gyration (</w:t>
      </w:r>
      <w:proofErr w:type="spellStart"/>
      <w:r w:rsidRPr="007E5190">
        <w:rPr>
          <w:rFonts w:cs="Times New Roman"/>
        </w:rPr>
        <w:t>Rg</w:t>
      </w:r>
      <w:proofErr w:type="spellEnd"/>
      <w:r w:rsidRPr="007E5190">
        <w:rPr>
          <w:rFonts w:cs="Times New Roman"/>
        </w:rPr>
        <w:t>)</w:t>
      </w:r>
    </w:p>
    <w:p w14:paraId="6FDE1E3E" w14:textId="37231C51" w:rsidR="00D15C4D"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Th</w:t>
      </w:r>
      <w:r w:rsidR="00D15C4D" w:rsidRPr="007E5190">
        <w:rPr>
          <w:rFonts w:ascii="Times New Roman" w:hAnsi="Times New Roman" w:cs="Times New Roman"/>
          <w:color w:val="0D0D0D" w:themeColor="text1" w:themeTint="F2"/>
        </w:rPr>
        <w:t>e</w:t>
      </w:r>
      <w:r w:rsidRPr="007E5190">
        <w:rPr>
          <w:rFonts w:ascii="Times New Roman" w:hAnsi="Times New Roman" w:cs="Times New Roman"/>
          <w:color w:val="0D0D0D" w:themeColor="text1" w:themeTint="F2"/>
        </w:rPr>
        <w:t xml:space="preserve"> Radius of Gyration (</w:t>
      </w:r>
      <w:proofErr w:type="spellStart"/>
      <w:r w:rsidRPr="007E5190">
        <w:rPr>
          <w:rFonts w:ascii="Times New Roman" w:hAnsi="Times New Roman" w:cs="Times New Roman"/>
          <w:color w:val="0D0D0D" w:themeColor="text1" w:themeTint="F2"/>
        </w:rPr>
        <w:t>Rg</w:t>
      </w:r>
      <w:proofErr w:type="spellEnd"/>
      <w:r w:rsidRPr="007E5190">
        <w:rPr>
          <w:rFonts w:ascii="Times New Roman" w:hAnsi="Times New Roman" w:cs="Times New Roman"/>
          <w:color w:val="0D0D0D" w:themeColor="text1" w:themeTint="F2"/>
        </w:rPr>
        <w:t>) analysis (</w:t>
      </w:r>
      <w:r w:rsidR="00EF7F63" w:rsidRPr="007E5190">
        <w:rPr>
          <w:rFonts w:ascii="Times New Roman" w:hAnsi="Times New Roman" w:cs="Times New Roman"/>
          <w:color w:val="4472C4" w:themeColor="accent1"/>
        </w:rPr>
        <w:fldChar w:fldCharType="begin"/>
      </w:r>
      <w:r w:rsidR="00EF7F63" w:rsidRPr="007E5190">
        <w:rPr>
          <w:rFonts w:ascii="Times New Roman" w:hAnsi="Times New Roman" w:cs="Times New Roman"/>
          <w:color w:val="4472C4" w:themeColor="accent1"/>
        </w:rPr>
        <w:instrText xml:space="preserve"> REF _Ref213081305 \h  \* MERGEFORMAT </w:instrText>
      </w:r>
      <w:r w:rsidR="00EF7F63" w:rsidRPr="007E5190">
        <w:rPr>
          <w:rFonts w:ascii="Times New Roman" w:hAnsi="Times New Roman" w:cs="Times New Roman"/>
          <w:color w:val="4472C4" w:themeColor="accent1"/>
        </w:rPr>
      </w:r>
      <w:r w:rsidR="00EF7F63" w:rsidRPr="007E5190">
        <w:rPr>
          <w:rFonts w:ascii="Times New Roman" w:hAnsi="Times New Roman" w:cs="Times New Roman"/>
          <w:color w:val="4472C4" w:themeColor="accent1"/>
        </w:rPr>
        <w:fldChar w:fldCharType="separate"/>
      </w:r>
      <w:r w:rsidR="00EF7F63" w:rsidRPr="007E5190">
        <w:rPr>
          <w:rFonts w:ascii="Times New Roman" w:hAnsi="Times New Roman" w:cs="Times New Roman"/>
          <w:color w:val="4472C4" w:themeColor="accent1"/>
        </w:rPr>
        <w:t xml:space="preserve">Figure </w:t>
      </w:r>
      <w:r w:rsidR="00EF7F63" w:rsidRPr="007E5190">
        <w:rPr>
          <w:rFonts w:ascii="Times New Roman" w:hAnsi="Times New Roman" w:cs="Times New Roman"/>
          <w:color w:val="4472C4" w:themeColor="accent1"/>
        </w:rPr>
        <w:fldChar w:fldCharType="end"/>
      </w:r>
      <w:r w:rsidR="008420C4" w:rsidRPr="007E5190">
        <w:rPr>
          <w:rFonts w:ascii="Times New Roman" w:hAnsi="Times New Roman" w:cs="Times New Roman"/>
          <w:color w:val="4472C4" w:themeColor="accent1"/>
        </w:rPr>
        <w:t>5</w:t>
      </w:r>
      <w:r w:rsidRPr="007E5190">
        <w:rPr>
          <w:rFonts w:ascii="Times New Roman" w:hAnsi="Times New Roman" w:cs="Times New Roman"/>
          <w:color w:val="0D0D0D" w:themeColor="text1" w:themeTint="F2"/>
        </w:rPr>
        <w:t xml:space="preserve">), </w:t>
      </w:r>
      <w:r w:rsidR="00D15C4D" w:rsidRPr="007E5190">
        <w:rPr>
          <w:rFonts w:ascii="Times New Roman" w:hAnsi="Times New Roman" w:cs="Times New Roman"/>
          <w:color w:val="0D0D0D" w:themeColor="text1" w:themeTint="F2"/>
        </w:rPr>
        <w:t xml:space="preserve">which is a measure of overall protein compactness, provided further support for this finding. Highly stable </w:t>
      </w:r>
      <w:proofErr w:type="spellStart"/>
      <w:r w:rsidR="00D15C4D" w:rsidRPr="007E5190">
        <w:rPr>
          <w:rFonts w:ascii="Times New Roman" w:hAnsi="Times New Roman" w:cs="Times New Roman"/>
          <w:color w:val="0D0D0D" w:themeColor="text1" w:themeTint="F2"/>
        </w:rPr>
        <w:t>Rg</w:t>
      </w:r>
      <w:proofErr w:type="spellEnd"/>
      <w:r w:rsidR="00D15C4D" w:rsidRPr="007E5190">
        <w:rPr>
          <w:rFonts w:ascii="Times New Roman" w:hAnsi="Times New Roman" w:cs="Times New Roman"/>
          <w:color w:val="0D0D0D" w:themeColor="text1" w:themeTint="F2"/>
        </w:rPr>
        <w:t xml:space="preserve"> plots were observed for all four complexes from the start of the simulation, with narrow fluctuations around ~2.45 nm. This stable </w:t>
      </w:r>
      <w:proofErr w:type="spellStart"/>
      <w:r w:rsidR="00D15C4D" w:rsidRPr="007E5190">
        <w:rPr>
          <w:rFonts w:ascii="Times New Roman" w:hAnsi="Times New Roman" w:cs="Times New Roman"/>
          <w:color w:val="0D0D0D" w:themeColor="text1" w:themeTint="F2"/>
        </w:rPr>
        <w:t>Rg</w:t>
      </w:r>
      <w:proofErr w:type="spellEnd"/>
      <w:r w:rsidR="00D15C4D" w:rsidRPr="007E5190">
        <w:rPr>
          <w:rFonts w:ascii="Times New Roman" w:hAnsi="Times New Roman" w:cs="Times New Roman"/>
          <w:color w:val="0D0D0D" w:themeColor="text1" w:themeTint="F2"/>
        </w:rPr>
        <w:t xml:space="preserve"> value is indicative that the protein's compact, globular fold was maintained and that no unfolding, swelling, or significant conformational collapse occurred while bound to any of the ligands.</w:t>
      </w:r>
    </w:p>
    <w:p w14:paraId="1F0BA2E4" w14:textId="2FE49969" w:rsidR="00794D96" w:rsidRPr="007E5190" w:rsidRDefault="00794D96" w:rsidP="00DD06FA">
      <w:pPr>
        <w:pStyle w:val="Heading2"/>
        <w:rPr>
          <w:rFonts w:cs="Times New Roman"/>
        </w:rPr>
      </w:pPr>
      <w:r w:rsidRPr="007E5190">
        <w:rPr>
          <w:rFonts w:cs="Times New Roman"/>
        </w:rPr>
        <w:t>Flexibility and Conformational Analysis</w:t>
      </w:r>
    </w:p>
    <w:p w14:paraId="1C74D4EE" w14:textId="1907C6B8" w:rsidR="00794D96" w:rsidRPr="007E5190" w:rsidRDefault="00D15C4D"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Information about local structural changes is not provided by RMSD and </w:t>
      </w:r>
      <w:proofErr w:type="spellStart"/>
      <w:r w:rsidRPr="007E5190">
        <w:rPr>
          <w:rFonts w:ascii="Times New Roman" w:hAnsi="Times New Roman" w:cs="Times New Roman"/>
          <w:color w:val="0D0D0D" w:themeColor="text1" w:themeTint="F2"/>
        </w:rPr>
        <w:t>Rg</w:t>
      </w:r>
      <w:proofErr w:type="spellEnd"/>
      <w:r w:rsidRPr="007E5190">
        <w:rPr>
          <w:rFonts w:ascii="Times New Roman" w:hAnsi="Times New Roman" w:cs="Times New Roman"/>
          <w:color w:val="0D0D0D" w:themeColor="text1" w:themeTint="F2"/>
        </w:rPr>
        <w:t>, which only confirm global stability. Therefore, the next step was an analysis of flexibility and conformational dynamics at the per-residue level. Per-residue flexibility was measured using Root Mean Square Fluctuation (RMSF), while changes in the protein's solvent exposure were monitored using the Solvent Accessible Surface Area (SASA)</w:t>
      </w:r>
      <w:r w:rsidR="00794D96" w:rsidRPr="007E5190">
        <w:rPr>
          <w:rFonts w:ascii="Times New Roman" w:hAnsi="Times New Roman" w:cs="Times New Roman"/>
          <w:color w:val="0D0D0D" w:themeColor="text1" w:themeTint="F2"/>
        </w:rPr>
        <w:t>.</w:t>
      </w:r>
    </w:p>
    <w:p w14:paraId="4919689B" w14:textId="4FA15530" w:rsidR="00794D96" w:rsidRPr="007E5190" w:rsidRDefault="00794D96" w:rsidP="00DD06FA">
      <w:pPr>
        <w:pStyle w:val="Heading2"/>
        <w:rPr>
          <w:rFonts w:cs="Times New Roman"/>
        </w:rPr>
      </w:pPr>
      <w:r w:rsidRPr="007E5190">
        <w:rPr>
          <w:rFonts w:cs="Times New Roman"/>
        </w:rPr>
        <w:t>Root Mean Square Fluctuation (RMSF)</w:t>
      </w:r>
    </w:p>
    <w:p w14:paraId="62C80D6C" w14:textId="4074EC97" w:rsidR="00D15C4D" w:rsidRPr="007E5190" w:rsidRDefault="00D15C4D" w:rsidP="00D15C4D">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per-residue Root Mean Square Fluctuation (RMSF) of the </w:t>
      </w:r>
      <m:oMath>
        <m:r>
          <w:rPr>
            <w:rFonts w:ascii="Cambria Math" w:hAnsi="Cambria Math" w:cs="Times New Roman"/>
            <w:color w:val="0D0D0D" w:themeColor="text1" w:themeTint="F2"/>
          </w:rPr>
          <m:t>Cα</m:t>
        </m:r>
      </m:oMath>
      <w:r w:rsidRPr="007E5190">
        <w:rPr>
          <w:rFonts w:ascii="Times New Roman" w:hAnsi="Times New Roman" w:cs="Times New Roman"/>
          <w:color w:val="0D0D0D" w:themeColor="text1" w:themeTint="F2"/>
        </w:rPr>
        <w:t xml:space="preserve"> atoms </w:t>
      </w:r>
      <w:proofErr w:type="gramStart"/>
      <w:r w:rsidRPr="007E5190">
        <w:rPr>
          <w:rFonts w:ascii="Times New Roman" w:hAnsi="Times New Roman" w:cs="Times New Roman"/>
          <w:color w:val="0D0D0D" w:themeColor="text1" w:themeTint="F2"/>
        </w:rPr>
        <w:t>was</w:t>
      </w:r>
      <w:proofErr w:type="gramEnd"/>
      <w:r w:rsidRPr="007E5190">
        <w:rPr>
          <w:rFonts w:ascii="Times New Roman" w:hAnsi="Times New Roman" w:cs="Times New Roman"/>
          <w:color w:val="0D0D0D" w:themeColor="text1" w:themeTint="F2"/>
        </w:rPr>
        <w:t xml:space="preserve"> calculated over the 125 ns trajectory to investigate the effect of ligand binding on protein flexibility</w:t>
      </w:r>
      <w:r w:rsidR="00794D96" w:rsidRPr="007E5190">
        <w:rPr>
          <w:rFonts w:ascii="Times New Roman" w:hAnsi="Times New Roman" w:cs="Times New Roman"/>
          <w:color w:val="0D0D0D" w:themeColor="text1" w:themeTint="F2"/>
        </w:rPr>
        <w:t>. The RMSF plots for all four complexes (</w:t>
      </w:r>
      <w:r w:rsidR="00EF7F63" w:rsidRPr="007E5190">
        <w:rPr>
          <w:rFonts w:ascii="Times New Roman" w:hAnsi="Times New Roman" w:cs="Times New Roman"/>
          <w:color w:val="4472C4" w:themeColor="accent1"/>
        </w:rPr>
        <w:fldChar w:fldCharType="begin"/>
      </w:r>
      <w:r w:rsidR="00EF7F63" w:rsidRPr="007E5190">
        <w:rPr>
          <w:rFonts w:ascii="Times New Roman" w:hAnsi="Times New Roman" w:cs="Times New Roman"/>
          <w:color w:val="4472C4" w:themeColor="accent1"/>
        </w:rPr>
        <w:instrText xml:space="preserve"> REF _Ref213081392 \h  \* MERGEFORMAT </w:instrText>
      </w:r>
      <w:r w:rsidR="00EF7F63" w:rsidRPr="007E5190">
        <w:rPr>
          <w:rFonts w:ascii="Times New Roman" w:hAnsi="Times New Roman" w:cs="Times New Roman"/>
          <w:color w:val="4472C4" w:themeColor="accent1"/>
        </w:rPr>
      </w:r>
      <w:r w:rsidR="00EF7F63" w:rsidRPr="007E5190">
        <w:rPr>
          <w:rFonts w:ascii="Times New Roman" w:hAnsi="Times New Roman" w:cs="Times New Roman"/>
          <w:color w:val="4472C4" w:themeColor="accent1"/>
        </w:rPr>
        <w:fldChar w:fldCharType="separate"/>
      </w:r>
      <w:r w:rsidR="00EF7F63" w:rsidRPr="007E5190">
        <w:rPr>
          <w:rFonts w:ascii="Times New Roman" w:hAnsi="Times New Roman" w:cs="Times New Roman"/>
          <w:color w:val="4472C4" w:themeColor="accent1"/>
        </w:rPr>
        <w:t xml:space="preserve">Figure </w:t>
      </w:r>
      <w:r w:rsidR="00EF7F63" w:rsidRPr="007E5190">
        <w:rPr>
          <w:rFonts w:ascii="Times New Roman" w:hAnsi="Times New Roman" w:cs="Times New Roman"/>
          <w:color w:val="4472C4" w:themeColor="accent1"/>
        </w:rPr>
        <w:fldChar w:fldCharType="end"/>
      </w:r>
      <w:r w:rsidR="008420C4" w:rsidRPr="007E5190">
        <w:rPr>
          <w:rFonts w:ascii="Times New Roman" w:hAnsi="Times New Roman" w:cs="Times New Roman"/>
          <w:color w:val="4472C4" w:themeColor="accent1"/>
        </w:rPr>
        <w:t>6</w:t>
      </w:r>
      <w:r w:rsidR="00794D96" w:rsidRPr="007E5190">
        <w:rPr>
          <w:rFonts w:ascii="Times New Roman" w:hAnsi="Times New Roman" w:cs="Times New Roman"/>
          <w:color w:val="0D0D0D" w:themeColor="text1" w:themeTint="F2"/>
        </w:rPr>
        <w:t>) show a nearly identical fluctuation profile, indicating that none of the ligands induced any anomalous or non-native flexibility in the protein's structure. T</w:t>
      </w:r>
      <w:r w:rsidRPr="007E5190">
        <w:rPr>
          <w:rFonts w:ascii="Times New Roman" w:hAnsi="Times New Roman" w:cs="Times New Roman"/>
          <w:color w:val="0D0D0D" w:themeColor="text1" w:themeTint="F2"/>
        </w:rPr>
        <w:t>he major fluctuation peaks were found to correspond to exposed loop regions... In contrast, low RMSF values were consistently observed for residues within the identified binding pocket (e.g., Gln95, Tyr96, Asn195)</w:t>
      </w:r>
      <w:r w:rsidR="00794D96" w:rsidRPr="007E5190">
        <w:rPr>
          <w:rFonts w:ascii="Times New Roman" w:hAnsi="Times New Roman" w:cs="Times New Roman"/>
          <w:color w:val="0D0D0D" w:themeColor="text1" w:themeTint="F2"/>
        </w:rPr>
        <w:t xml:space="preserve"> across all four simulations. </w:t>
      </w:r>
      <w:r w:rsidRPr="007E5190">
        <w:rPr>
          <w:rFonts w:ascii="Times New Roman" w:hAnsi="Times New Roman" w:cs="Times New Roman"/>
          <w:color w:val="0D0D0D" w:themeColor="text1" w:themeTint="F2"/>
        </w:rPr>
        <w:t>This finding suggests that these key active site residues were stabilized and "locked" into a stable, bound conformation by the ligand.</w:t>
      </w:r>
    </w:p>
    <w:p w14:paraId="109B7295" w14:textId="2FB7C91E" w:rsidR="00794D96" w:rsidRPr="007E5190" w:rsidRDefault="00794D96" w:rsidP="00DD06FA">
      <w:pPr>
        <w:pStyle w:val="Heading2"/>
        <w:rPr>
          <w:rFonts w:cs="Times New Roman"/>
        </w:rPr>
      </w:pPr>
      <w:r w:rsidRPr="007E5190">
        <w:rPr>
          <w:rFonts w:cs="Times New Roman"/>
        </w:rPr>
        <w:t>Solvent Accessible Surface Area (SASA)</w:t>
      </w:r>
    </w:p>
    <w:p w14:paraId="3687877C" w14:textId="67B9D390" w:rsidR="00794D96" w:rsidRPr="007E5190" w:rsidRDefault="000A09AD"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As an alternative indicator of unfolding, the Solvent Accessible Surface Area (SASA) was also calculated to monitor the protein's solvent exposure</w:t>
      </w:r>
      <w:r w:rsidR="00794D96" w:rsidRPr="007E5190">
        <w:rPr>
          <w:rFonts w:ascii="Times New Roman" w:hAnsi="Times New Roman" w:cs="Times New Roman"/>
          <w:color w:val="0D0D0D" w:themeColor="text1" w:themeTint="F2"/>
        </w:rPr>
        <w:t>. The SASA plots (</w:t>
      </w:r>
      <w:r w:rsidR="00EF7F63" w:rsidRPr="007E5190">
        <w:rPr>
          <w:rFonts w:ascii="Times New Roman" w:hAnsi="Times New Roman" w:cs="Times New Roman"/>
          <w:color w:val="4472C4" w:themeColor="accent1"/>
        </w:rPr>
        <w:fldChar w:fldCharType="begin"/>
      </w:r>
      <w:r w:rsidR="00EF7F63" w:rsidRPr="007E5190">
        <w:rPr>
          <w:rFonts w:ascii="Times New Roman" w:hAnsi="Times New Roman" w:cs="Times New Roman"/>
          <w:color w:val="4472C4" w:themeColor="accent1"/>
        </w:rPr>
        <w:instrText xml:space="preserve"> REF _Ref213081415 \h  \* MERGEFORMAT </w:instrText>
      </w:r>
      <w:r w:rsidR="00EF7F63" w:rsidRPr="007E5190">
        <w:rPr>
          <w:rFonts w:ascii="Times New Roman" w:hAnsi="Times New Roman" w:cs="Times New Roman"/>
          <w:color w:val="4472C4" w:themeColor="accent1"/>
        </w:rPr>
      </w:r>
      <w:r w:rsidR="00EF7F63" w:rsidRPr="007E5190">
        <w:rPr>
          <w:rFonts w:ascii="Times New Roman" w:hAnsi="Times New Roman" w:cs="Times New Roman"/>
          <w:color w:val="4472C4" w:themeColor="accent1"/>
        </w:rPr>
        <w:fldChar w:fldCharType="separate"/>
      </w:r>
      <w:r w:rsidR="00EF7F63" w:rsidRPr="007E5190">
        <w:rPr>
          <w:rFonts w:ascii="Times New Roman" w:hAnsi="Times New Roman" w:cs="Times New Roman"/>
          <w:color w:val="4472C4" w:themeColor="accent1"/>
        </w:rPr>
        <w:t>Figure</w:t>
      </w:r>
      <w:r w:rsidR="008420C4" w:rsidRPr="007E5190">
        <w:rPr>
          <w:rFonts w:ascii="Times New Roman" w:hAnsi="Times New Roman" w:cs="Times New Roman"/>
          <w:color w:val="4472C4" w:themeColor="accent1"/>
        </w:rPr>
        <w:t xml:space="preserve"> 7</w:t>
      </w:r>
      <w:r w:rsidR="00EF7F63" w:rsidRPr="007E5190">
        <w:rPr>
          <w:rFonts w:ascii="Times New Roman" w:hAnsi="Times New Roman" w:cs="Times New Roman"/>
          <w:color w:val="4472C4" w:themeColor="accent1"/>
        </w:rPr>
        <w:fldChar w:fldCharType="end"/>
      </w:r>
      <w:r w:rsidR="00794D96" w:rsidRPr="007E5190">
        <w:rPr>
          <w:rFonts w:ascii="Times New Roman" w:hAnsi="Times New Roman" w:cs="Times New Roman"/>
          <w:color w:val="0D0D0D" w:themeColor="text1" w:themeTint="F2"/>
        </w:rPr>
        <w:t>) demonstrate that all four complexes maintained a highly stable total surface area, fluctuating around ~150-160</w:t>
      </w:r>
      <w:r w:rsidR="00204177" w:rsidRPr="007E5190">
        <w:rPr>
          <w:rFonts w:ascii="Times New Roman" w:hAnsi="Times New Roman" w:cs="Times New Roman"/>
          <w:color w:val="0D0D0D" w:themeColor="text1" w:themeTint="F2"/>
        </w:rPr>
        <w:t xml:space="preserve"> nm</w:t>
      </w:r>
      <w:r w:rsidR="00204177" w:rsidRPr="007E5190">
        <w:rPr>
          <w:rFonts w:ascii="Times New Roman" w:hAnsi="Times New Roman" w:cs="Times New Roman"/>
          <w:color w:val="0D0D0D" w:themeColor="text1" w:themeTint="F2"/>
          <w:vertAlign w:val="superscript"/>
        </w:rPr>
        <w:t>2</w:t>
      </w:r>
      <w:r w:rsidR="00794D96" w:rsidRPr="007E5190">
        <w:rPr>
          <w:rFonts w:ascii="Times New Roman" w:hAnsi="Times New Roman" w:cs="Times New Roman"/>
          <w:color w:val="0D0D0D" w:themeColor="text1" w:themeTint="F2"/>
        </w:rPr>
        <w:t xml:space="preserve">. </w:t>
      </w:r>
      <w:r w:rsidR="00794D96" w:rsidRPr="007E5190">
        <w:rPr>
          <w:rFonts w:ascii="Times New Roman" w:hAnsi="Times New Roman" w:cs="Times New Roman"/>
          <w:color w:val="0D0D0D" w:themeColor="text1" w:themeTint="F2"/>
        </w:rPr>
        <w:lastRenderedPageBreak/>
        <w:t xml:space="preserve">A significant increase in this value would have indicated protein unfolding and the exposure of hydrophobic core residues. </w:t>
      </w:r>
      <w:r w:rsidRPr="007E5190">
        <w:rPr>
          <w:rFonts w:ascii="Times New Roman" w:hAnsi="Times New Roman" w:cs="Times New Roman"/>
          <w:color w:val="0D0D0D" w:themeColor="text1" w:themeTint="F2"/>
        </w:rPr>
        <w:t xml:space="preserve">The stable SASA data served as corroboration for the RMSD and </w:t>
      </w:r>
      <w:proofErr w:type="spellStart"/>
      <w:r w:rsidRPr="007E5190">
        <w:rPr>
          <w:rFonts w:ascii="Times New Roman" w:hAnsi="Times New Roman" w:cs="Times New Roman"/>
          <w:color w:val="0D0D0D" w:themeColor="text1" w:themeTint="F2"/>
        </w:rPr>
        <w:t>Rg</w:t>
      </w:r>
      <w:proofErr w:type="spellEnd"/>
      <w:r w:rsidRPr="007E5190">
        <w:rPr>
          <w:rFonts w:ascii="Times New Roman" w:hAnsi="Times New Roman" w:cs="Times New Roman"/>
          <w:color w:val="0D0D0D" w:themeColor="text1" w:themeTint="F2"/>
        </w:rPr>
        <w:t xml:space="preserve"> results, confirming the structural integrity and compact fold of all four protein-ligand complexes throughout the simulation.</w:t>
      </w:r>
    </w:p>
    <w:p w14:paraId="08657339" w14:textId="7CF0B486" w:rsidR="00794D96" w:rsidRPr="007E5190" w:rsidRDefault="00794D96" w:rsidP="00DD06FA">
      <w:pPr>
        <w:pStyle w:val="Heading2"/>
        <w:rPr>
          <w:rFonts w:cs="Times New Roman"/>
        </w:rPr>
      </w:pPr>
      <w:bookmarkStart w:id="10" w:name="_Ref213159203"/>
      <w:r w:rsidRPr="007E5190">
        <w:rPr>
          <w:rFonts w:cs="Times New Roman"/>
        </w:rPr>
        <w:t>Intermolecular Interaction Analysis</w:t>
      </w:r>
      <w:bookmarkEnd w:id="10"/>
    </w:p>
    <w:p w14:paraId="3701F6A6" w14:textId="77777777"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Having established the global and local structural stability of the complexes, the analysis next focused on the specific intermolecular interactions responsible for maintaining the stable binding. The persistence of these interactions over the 125 ns simulation provides a direct measure of binding affinity and stability.</w:t>
      </w:r>
    </w:p>
    <w:p w14:paraId="616006D5" w14:textId="394A61BB" w:rsidR="00794D96" w:rsidRPr="007E5190" w:rsidRDefault="00794D96" w:rsidP="00DD06FA">
      <w:pPr>
        <w:pStyle w:val="Heading2"/>
        <w:rPr>
          <w:rFonts w:cs="Times New Roman"/>
        </w:rPr>
      </w:pPr>
      <w:bookmarkStart w:id="11" w:name="_Ref213159382"/>
      <w:r w:rsidRPr="007E5190">
        <w:rPr>
          <w:rFonts w:cs="Times New Roman"/>
        </w:rPr>
        <w:t>Intermolecular Hydrogen Bonds</w:t>
      </w:r>
      <w:bookmarkEnd w:id="11"/>
    </w:p>
    <w:p w14:paraId="3BF312FD" w14:textId="5DC52F8F"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Hydrogen bonds are critical directional interactions that confer high specificity and affinity. The total number of H-bonds between the protein and each ligand was monitored over the entire 125 ns trajectory (</w:t>
      </w:r>
      <w:r w:rsidR="00EF7F63" w:rsidRPr="007E5190">
        <w:rPr>
          <w:rFonts w:ascii="Times New Roman" w:hAnsi="Times New Roman" w:cs="Times New Roman"/>
          <w:color w:val="4472C4" w:themeColor="accent1"/>
        </w:rPr>
        <w:fldChar w:fldCharType="begin"/>
      </w:r>
      <w:r w:rsidR="00EF7F63" w:rsidRPr="007E5190">
        <w:rPr>
          <w:rFonts w:ascii="Times New Roman" w:hAnsi="Times New Roman" w:cs="Times New Roman"/>
          <w:color w:val="4472C4" w:themeColor="accent1"/>
        </w:rPr>
        <w:instrText xml:space="preserve"> REF _Ref213081521 \h  \* MERGEFORMAT </w:instrText>
      </w:r>
      <w:r w:rsidR="00EF7F63" w:rsidRPr="007E5190">
        <w:rPr>
          <w:rFonts w:ascii="Times New Roman" w:hAnsi="Times New Roman" w:cs="Times New Roman"/>
          <w:color w:val="4472C4" w:themeColor="accent1"/>
        </w:rPr>
      </w:r>
      <w:r w:rsidR="00EF7F63" w:rsidRPr="007E5190">
        <w:rPr>
          <w:rFonts w:ascii="Times New Roman" w:hAnsi="Times New Roman" w:cs="Times New Roman"/>
          <w:color w:val="4472C4" w:themeColor="accent1"/>
        </w:rPr>
        <w:fldChar w:fldCharType="separate"/>
      </w:r>
      <w:r w:rsidR="00EF7F63" w:rsidRPr="007E5190">
        <w:rPr>
          <w:rFonts w:ascii="Times New Roman" w:hAnsi="Times New Roman" w:cs="Times New Roman"/>
          <w:color w:val="4472C4" w:themeColor="accent1"/>
        </w:rPr>
        <w:t xml:space="preserve">Figure </w:t>
      </w:r>
      <w:r w:rsidR="008420C4" w:rsidRPr="007E5190">
        <w:rPr>
          <w:rFonts w:ascii="Times New Roman" w:hAnsi="Times New Roman" w:cs="Times New Roman"/>
          <w:color w:val="4472C4" w:themeColor="accent1"/>
        </w:rPr>
        <w:t>8</w:t>
      </w:r>
      <w:r w:rsidR="00EF7F63"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xml:space="preserve">). The results show a clear correlation with the anticipated binding strength. The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and the Oleanolic Acid control both demonstrated highly persistent H-bond networks, consistently maintaining 2-4 bonds. The Hederagenin analogue also showed stable bonding, typically 1-2 H-bonds. In stark contrast, the Lupeol analogue showed very poor hydrogen bonding, frequently dropping to zero H-bonds for extended periods. This suggests that the strong binding of the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is, in part, driven by its superior and more stable hydrogen bonding capacity, while the Lupeol analogue's binding is much less specific.</w:t>
      </w:r>
    </w:p>
    <w:p w14:paraId="772C462E" w14:textId="75940FE2" w:rsidR="00794D96" w:rsidRPr="007E5190" w:rsidRDefault="00794D96" w:rsidP="00DD06FA">
      <w:pPr>
        <w:pStyle w:val="Heading2"/>
        <w:rPr>
          <w:rFonts w:cs="Times New Roman"/>
        </w:rPr>
      </w:pPr>
      <w:r w:rsidRPr="007E5190">
        <w:rPr>
          <w:rFonts w:cs="Times New Roman"/>
        </w:rPr>
        <w:t>Minimum Distance Analysis</w:t>
      </w:r>
    </w:p>
    <w:p w14:paraId="788D3D7B" w14:textId="71D7AC73"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A minimum distance calculation was performed to confirm that the </w:t>
      </w:r>
      <w:r w:rsidR="00C46E2F" w:rsidRPr="007E5190">
        <w:rPr>
          <w:rFonts w:ascii="Times New Roman" w:hAnsi="Times New Roman" w:cs="Times New Roman"/>
          <w:color w:val="0D0D0D" w:themeColor="text1" w:themeTint="F2"/>
        </w:rPr>
        <w:t>ligand</w:t>
      </w:r>
      <w:r w:rsidRPr="007E5190">
        <w:rPr>
          <w:rFonts w:ascii="Times New Roman" w:hAnsi="Times New Roman" w:cs="Times New Roman"/>
          <w:color w:val="0D0D0D" w:themeColor="text1" w:themeTint="F2"/>
        </w:rPr>
        <w:t xml:space="preserve"> remained physically bound within the active site. The plots (</w:t>
      </w:r>
      <w:r w:rsidR="00EF7F63" w:rsidRPr="007E5190">
        <w:rPr>
          <w:rFonts w:ascii="Times New Roman" w:hAnsi="Times New Roman" w:cs="Times New Roman"/>
          <w:color w:val="4472C4" w:themeColor="accent1"/>
        </w:rPr>
        <w:fldChar w:fldCharType="begin"/>
      </w:r>
      <w:r w:rsidR="00EF7F63" w:rsidRPr="007E5190">
        <w:rPr>
          <w:rFonts w:ascii="Times New Roman" w:hAnsi="Times New Roman" w:cs="Times New Roman"/>
          <w:color w:val="4472C4" w:themeColor="accent1"/>
        </w:rPr>
        <w:instrText xml:space="preserve"> REF _Ref213081537 \h  \* MERGEFORMAT </w:instrText>
      </w:r>
      <w:r w:rsidR="00EF7F63" w:rsidRPr="007E5190">
        <w:rPr>
          <w:rFonts w:ascii="Times New Roman" w:hAnsi="Times New Roman" w:cs="Times New Roman"/>
          <w:color w:val="4472C4" w:themeColor="accent1"/>
        </w:rPr>
      </w:r>
      <w:r w:rsidR="00EF7F63" w:rsidRPr="007E5190">
        <w:rPr>
          <w:rFonts w:ascii="Times New Roman" w:hAnsi="Times New Roman" w:cs="Times New Roman"/>
          <w:color w:val="4472C4" w:themeColor="accent1"/>
        </w:rPr>
        <w:fldChar w:fldCharType="separate"/>
      </w:r>
      <w:r w:rsidR="00EF7F63" w:rsidRPr="007E5190">
        <w:rPr>
          <w:rFonts w:ascii="Times New Roman" w:hAnsi="Times New Roman" w:cs="Times New Roman"/>
          <w:color w:val="4472C4" w:themeColor="accent1"/>
        </w:rPr>
        <w:t xml:space="preserve">Figure </w:t>
      </w:r>
      <w:r w:rsidR="00BD4226" w:rsidRPr="007E5190">
        <w:rPr>
          <w:rFonts w:ascii="Times New Roman" w:hAnsi="Times New Roman" w:cs="Times New Roman"/>
          <w:color w:val="4472C4" w:themeColor="accent1"/>
        </w:rPr>
        <w:t>9</w:t>
      </w:r>
      <w:r w:rsidR="00EF7F63"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track the shortest distance between any atom of the ligand and any atom of the protein over the 125 ns. All four complexes show a consistently low and stable minimum distance, fluctuating tightly around 0.15-0.20 nm. This provides definitive evidence that all four ligands remained securely docked within the binding pocket for the entire simulation duration.</w:t>
      </w:r>
    </w:p>
    <w:p w14:paraId="5ACF72DD" w14:textId="4C323FD8" w:rsidR="008F3D91" w:rsidRPr="007E5190" w:rsidRDefault="008F3D91" w:rsidP="00DD06FA">
      <w:pPr>
        <w:pStyle w:val="Heading2"/>
        <w:rPr>
          <w:rFonts w:cs="Times New Roman"/>
        </w:rPr>
      </w:pPr>
      <w:bookmarkStart w:id="12" w:name="_Ref213159277"/>
      <w:r w:rsidRPr="007E5190">
        <w:rPr>
          <w:rFonts w:cs="Times New Roman"/>
        </w:rPr>
        <w:t>Intermolecular Contacts</w:t>
      </w:r>
      <w:bookmarkEnd w:id="12"/>
    </w:p>
    <w:p w14:paraId="1F32A2F9" w14:textId="45AC2F67" w:rsidR="008F3D91" w:rsidRPr="007E5190" w:rsidRDefault="008F3D91" w:rsidP="008F3D91">
      <w:pPr>
        <w:rPr>
          <w:rFonts w:ascii="Times New Roman" w:hAnsi="Times New Roman" w:cs="Times New Roman"/>
        </w:rPr>
      </w:pPr>
      <w:r w:rsidRPr="007E5190">
        <w:rPr>
          <w:rFonts w:ascii="Times New Roman" w:hAnsi="Times New Roman" w:cs="Times New Roman"/>
        </w:rPr>
        <w:t>To complete the interaction analysis, the total number of protein-ligand contacts (within a 0.6 nm cutoff) was calculated over time (</w:t>
      </w:r>
      <w:r w:rsidR="00EF7F63" w:rsidRPr="007E5190">
        <w:rPr>
          <w:rFonts w:ascii="Times New Roman" w:hAnsi="Times New Roman" w:cs="Times New Roman"/>
          <w:color w:val="4472C4" w:themeColor="accent1"/>
        </w:rPr>
        <w:fldChar w:fldCharType="begin"/>
      </w:r>
      <w:r w:rsidR="00EF7F63" w:rsidRPr="007E5190">
        <w:rPr>
          <w:rFonts w:ascii="Times New Roman" w:hAnsi="Times New Roman" w:cs="Times New Roman"/>
          <w:color w:val="4472C4" w:themeColor="accent1"/>
        </w:rPr>
        <w:instrText xml:space="preserve"> REF _Ref213081555 \h  \* MERGEFORMAT </w:instrText>
      </w:r>
      <w:r w:rsidR="00EF7F63" w:rsidRPr="007E5190">
        <w:rPr>
          <w:rFonts w:ascii="Times New Roman" w:hAnsi="Times New Roman" w:cs="Times New Roman"/>
          <w:color w:val="4472C4" w:themeColor="accent1"/>
        </w:rPr>
      </w:r>
      <w:r w:rsidR="00EF7F63" w:rsidRPr="007E5190">
        <w:rPr>
          <w:rFonts w:ascii="Times New Roman" w:hAnsi="Times New Roman" w:cs="Times New Roman"/>
          <w:color w:val="4472C4" w:themeColor="accent1"/>
        </w:rPr>
        <w:fldChar w:fldCharType="separate"/>
      </w:r>
      <w:r w:rsidR="00EF7F63" w:rsidRPr="007E5190">
        <w:rPr>
          <w:rFonts w:ascii="Times New Roman" w:hAnsi="Times New Roman" w:cs="Times New Roman"/>
          <w:color w:val="4472C4" w:themeColor="accent1"/>
        </w:rPr>
        <w:t xml:space="preserve">Figure </w:t>
      </w:r>
      <w:r w:rsidR="00EF7F63" w:rsidRPr="007E5190">
        <w:rPr>
          <w:rFonts w:ascii="Times New Roman" w:hAnsi="Times New Roman" w:cs="Times New Roman"/>
          <w:noProof/>
          <w:color w:val="4472C4" w:themeColor="accent1"/>
        </w:rPr>
        <w:t>1</w:t>
      </w:r>
      <w:r w:rsidR="00BD4226" w:rsidRPr="007E5190">
        <w:rPr>
          <w:rFonts w:ascii="Times New Roman" w:hAnsi="Times New Roman" w:cs="Times New Roman"/>
          <w:noProof/>
          <w:color w:val="4472C4" w:themeColor="accent1"/>
        </w:rPr>
        <w:t>0</w:t>
      </w:r>
      <w:r w:rsidR="00EF7F63" w:rsidRPr="007E5190">
        <w:rPr>
          <w:rFonts w:ascii="Times New Roman" w:hAnsi="Times New Roman" w:cs="Times New Roman"/>
          <w:color w:val="4472C4" w:themeColor="accent1"/>
        </w:rPr>
        <w:fldChar w:fldCharType="end"/>
      </w:r>
      <w:r w:rsidRPr="007E5190">
        <w:rPr>
          <w:rFonts w:ascii="Times New Roman" w:hAnsi="Times New Roman" w:cs="Times New Roman"/>
        </w:rPr>
        <w:t>). This metric is crucial as it includes the hydrophobic and van der Waals interactions that are vital for binding. The plots show that all four ligands maintained a high and stable number of contacts (fluctuating between 30-50 contacts) throughout the 125 ns simulation. This result is particularly important for the Lupeol analogue; it confirms that while it lacks stable H-bonds, its stable binding (as seen in the minimum distance plot) is maintained by a high number of persistent non-polar contacts.</w:t>
      </w:r>
    </w:p>
    <w:p w14:paraId="5D7C91BE" w14:textId="773B309F" w:rsidR="00794D96" w:rsidRPr="007E5190" w:rsidRDefault="00794D96" w:rsidP="00DD06FA">
      <w:pPr>
        <w:pStyle w:val="Heading2"/>
        <w:rPr>
          <w:rFonts w:cs="Times New Roman"/>
        </w:rPr>
      </w:pPr>
      <w:r w:rsidRPr="007E5190">
        <w:rPr>
          <w:rFonts w:cs="Times New Roman"/>
        </w:rPr>
        <w:lastRenderedPageBreak/>
        <w:t>Conformational Changes of Ligands in the Binding Pocket</w:t>
      </w:r>
    </w:p>
    <w:p w14:paraId="0EEFFBD2" w14:textId="09FD6E53" w:rsidR="00794D96" w:rsidRPr="007E5190" w:rsidRDefault="00794D9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To visually assess the dynamic behavior and conformational stability of the ligands within the protein's active site, snapshots of each protein-ligand complex were captured at 25 ns intervals over the 125 ns simulation. These visualizations (</w:t>
      </w:r>
      <w:r w:rsidR="00254C51" w:rsidRPr="007E5190">
        <w:rPr>
          <w:rFonts w:ascii="Times New Roman" w:hAnsi="Times New Roman" w:cs="Times New Roman"/>
          <w:color w:val="4472C4" w:themeColor="accent1"/>
        </w:rPr>
        <w:fldChar w:fldCharType="begin"/>
      </w:r>
      <w:r w:rsidR="00254C51" w:rsidRPr="007E5190">
        <w:rPr>
          <w:rFonts w:ascii="Times New Roman" w:hAnsi="Times New Roman" w:cs="Times New Roman"/>
          <w:color w:val="4472C4" w:themeColor="accent1"/>
        </w:rPr>
        <w:instrText xml:space="preserve"> REF _Ref213081731 \h </w:instrText>
      </w:r>
      <w:r w:rsidR="00F25C91" w:rsidRPr="007E5190">
        <w:rPr>
          <w:rFonts w:ascii="Times New Roman" w:hAnsi="Times New Roman" w:cs="Times New Roman"/>
          <w:color w:val="4472C4" w:themeColor="accent1"/>
        </w:rPr>
        <w:instrText xml:space="preserve"> \* MERGEFORMAT </w:instrText>
      </w:r>
      <w:r w:rsidR="00254C51" w:rsidRPr="007E5190">
        <w:rPr>
          <w:rFonts w:ascii="Times New Roman" w:hAnsi="Times New Roman" w:cs="Times New Roman"/>
          <w:color w:val="4472C4" w:themeColor="accent1"/>
        </w:rPr>
      </w:r>
      <w:r w:rsidR="00254C51" w:rsidRPr="007E5190">
        <w:rPr>
          <w:rFonts w:ascii="Times New Roman" w:hAnsi="Times New Roman" w:cs="Times New Roman"/>
          <w:color w:val="4472C4" w:themeColor="accent1"/>
        </w:rPr>
        <w:fldChar w:fldCharType="separate"/>
      </w:r>
      <w:r w:rsidR="00254C51" w:rsidRPr="007E5190">
        <w:rPr>
          <w:rFonts w:ascii="Times New Roman" w:hAnsi="Times New Roman" w:cs="Times New Roman"/>
          <w:color w:val="4472C4" w:themeColor="accent1"/>
        </w:rPr>
        <w:t xml:space="preserve">Figure </w:t>
      </w:r>
      <w:r w:rsidR="00254C51" w:rsidRPr="007E5190">
        <w:rPr>
          <w:rFonts w:ascii="Times New Roman" w:hAnsi="Times New Roman" w:cs="Times New Roman"/>
          <w:noProof/>
          <w:color w:val="4472C4" w:themeColor="accent1"/>
        </w:rPr>
        <w:t>1</w:t>
      </w:r>
      <w:r w:rsidR="00BD4226" w:rsidRPr="007E5190">
        <w:rPr>
          <w:rFonts w:ascii="Times New Roman" w:hAnsi="Times New Roman" w:cs="Times New Roman"/>
          <w:noProof/>
          <w:color w:val="4472C4" w:themeColor="accent1"/>
        </w:rPr>
        <w:t>1</w:t>
      </w:r>
      <w:r w:rsidR="00254C51"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provide critical insights into how the ligands adapt to the binding pocket.</w:t>
      </w:r>
    </w:p>
    <w:p w14:paraId="279C59F1" w14:textId="69A854A9" w:rsidR="00794D96" w:rsidRPr="007E5190" w:rsidRDefault="00794D96" w:rsidP="00D75BEE">
      <w:pPr>
        <w:numPr>
          <w:ilvl w:val="0"/>
          <w:numId w:val="2"/>
        </w:num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Protein-Control (Oleanolic Acid): As shown in </w:t>
      </w:r>
      <w:r w:rsidR="00254C51" w:rsidRPr="007E5190">
        <w:rPr>
          <w:rFonts w:ascii="Times New Roman" w:hAnsi="Times New Roman" w:cs="Times New Roman"/>
          <w:color w:val="4472C4" w:themeColor="accent1"/>
        </w:rPr>
        <w:fldChar w:fldCharType="begin"/>
      </w:r>
      <w:r w:rsidR="00254C51" w:rsidRPr="007E5190">
        <w:rPr>
          <w:rFonts w:ascii="Times New Roman" w:hAnsi="Times New Roman" w:cs="Times New Roman"/>
          <w:color w:val="4472C4" w:themeColor="accent1"/>
        </w:rPr>
        <w:instrText xml:space="preserve"> REF _Ref213081731 \h </w:instrText>
      </w:r>
      <w:r w:rsidR="00F25C91" w:rsidRPr="007E5190">
        <w:rPr>
          <w:rFonts w:ascii="Times New Roman" w:hAnsi="Times New Roman" w:cs="Times New Roman"/>
          <w:color w:val="4472C4" w:themeColor="accent1"/>
        </w:rPr>
        <w:instrText xml:space="preserve"> \* MERGEFORMAT </w:instrText>
      </w:r>
      <w:r w:rsidR="00254C51" w:rsidRPr="007E5190">
        <w:rPr>
          <w:rFonts w:ascii="Times New Roman" w:hAnsi="Times New Roman" w:cs="Times New Roman"/>
          <w:color w:val="4472C4" w:themeColor="accent1"/>
        </w:rPr>
      </w:r>
      <w:r w:rsidR="00254C51" w:rsidRPr="007E5190">
        <w:rPr>
          <w:rFonts w:ascii="Times New Roman" w:hAnsi="Times New Roman" w:cs="Times New Roman"/>
          <w:color w:val="4472C4" w:themeColor="accent1"/>
        </w:rPr>
        <w:fldChar w:fldCharType="separate"/>
      </w:r>
      <w:r w:rsidR="00254C51" w:rsidRPr="007E5190">
        <w:rPr>
          <w:rFonts w:ascii="Times New Roman" w:hAnsi="Times New Roman" w:cs="Times New Roman"/>
          <w:color w:val="4472C4" w:themeColor="accent1"/>
        </w:rPr>
        <w:t xml:space="preserve">Figure </w:t>
      </w:r>
      <w:r w:rsidR="00BD4226" w:rsidRPr="007E5190">
        <w:rPr>
          <w:rFonts w:ascii="Times New Roman" w:hAnsi="Times New Roman" w:cs="Times New Roman"/>
          <w:color w:val="4472C4" w:themeColor="accent1"/>
        </w:rPr>
        <w:t>1</w:t>
      </w:r>
      <w:r w:rsidR="00254C51" w:rsidRPr="007E5190">
        <w:rPr>
          <w:rFonts w:ascii="Times New Roman" w:hAnsi="Times New Roman" w:cs="Times New Roman"/>
          <w:noProof/>
          <w:color w:val="4472C4" w:themeColor="accent1"/>
        </w:rPr>
        <w:t>1</w:t>
      </w:r>
      <w:r w:rsidR="00254C51" w:rsidRPr="007E5190">
        <w:rPr>
          <w:rFonts w:ascii="Times New Roman" w:hAnsi="Times New Roman" w:cs="Times New Roman"/>
          <w:color w:val="4472C4" w:themeColor="accent1"/>
        </w:rPr>
        <w:fldChar w:fldCharType="end"/>
      </w:r>
      <w:r w:rsidRPr="007E5190">
        <w:rPr>
          <w:rFonts w:ascii="Times New Roman" w:hAnsi="Times New Roman" w:cs="Times New Roman"/>
          <w:color w:val="4472C4" w:themeColor="accent1"/>
        </w:rPr>
        <w:t>-A</w:t>
      </w:r>
      <w:r w:rsidRPr="007E5190">
        <w:rPr>
          <w:rFonts w:ascii="Times New Roman" w:hAnsi="Times New Roman" w:cs="Times New Roman"/>
          <w:color w:val="0D0D0D" w:themeColor="text1" w:themeTint="F2"/>
        </w:rPr>
        <w:t>, the Oleanolic Acid ligand (highlighted in red) remained consistently lodged deep within the protein's binding pocket throughout the entire 125 ns, indicating a tight and persistent interaction.</w:t>
      </w:r>
    </w:p>
    <w:p w14:paraId="3433444C" w14:textId="310F3947" w:rsidR="00794D96" w:rsidRPr="007E5190" w:rsidRDefault="00794D96" w:rsidP="00D75BEE">
      <w:pPr>
        <w:numPr>
          <w:ilvl w:val="0"/>
          <w:numId w:val="2"/>
        </w:num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Protein-Hederagenin Analogue: Similarly, the Hederagenin analogue (highlighted in green) in </w:t>
      </w:r>
      <w:r w:rsidR="00254C51" w:rsidRPr="007E5190">
        <w:rPr>
          <w:rFonts w:ascii="Times New Roman" w:hAnsi="Times New Roman" w:cs="Times New Roman"/>
          <w:color w:val="4472C4" w:themeColor="accent1"/>
        </w:rPr>
        <w:fldChar w:fldCharType="begin"/>
      </w:r>
      <w:r w:rsidR="00254C51" w:rsidRPr="007E5190">
        <w:rPr>
          <w:rFonts w:ascii="Times New Roman" w:hAnsi="Times New Roman" w:cs="Times New Roman"/>
          <w:color w:val="4472C4" w:themeColor="accent1"/>
        </w:rPr>
        <w:instrText xml:space="preserve"> REF _Ref213081731 \h </w:instrText>
      </w:r>
      <w:r w:rsidR="00F25C91" w:rsidRPr="007E5190">
        <w:rPr>
          <w:rFonts w:ascii="Times New Roman" w:hAnsi="Times New Roman" w:cs="Times New Roman"/>
          <w:color w:val="4472C4" w:themeColor="accent1"/>
        </w:rPr>
        <w:instrText xml:space="preserve"> \* MERGEFORMAT </w:instrText>
      </w:r>
      <w:r w:rsidR="00254C51" w:rsidRPr="007E5190">
        <w:rPr>
          <w:rFonts w:ascii="Times New Roman" w:hAnsi="Times New Roman" w:cs="Times New Roman"/>
          <w:color w:val="4472C4" w:themeColor="accent1"/>
        </w:rPr>
      </w:r>
      <w:r w:rsidR="00254C51" w:rsidRPr="007E5190">
        <w:rPr>
          <w:rFonts w:ascii="Times New Roman" w:hAnsi="Times New Roman" w:cs="Times New Roman"/>
          <w:color w:val="4472C4" w:themeColor="accent1"/>
        </w:rPr>
        <w:fldChar w:fldCharType="separate"/>
      </w:r>
      <w:r w:rsidR="00254C51" w:rsidRPr="007E5190">
        <w:rPr>
          <w:rFonts w:ascii="Times New Roman" w:hAnsi="Times New Roman" w:cs="Times New Roman"/>
          <w:color w:val="4472C4" w:themeColor="accent1"/>
        </w:rPr>
        <w:t xml:space="preserve">Figure </w:t>
      </w:r>
      <w:r w:rsidR="00254C51" w:rsidRPr="007E5190">
        <w:rPr>
          <w:rFonts w:ascii="Times New Roman" w:hAnsi="Times New Roman" w:cs="Times New Roman"/>
          <w:noProof/>
          <w:color w:val="4472C4" w:themeColor="accent1"/>
        </w:rPr>
        <w:t>1</w:t>
      </w:r>
      <w:r w:rsidR="00BD4226" w:rsidRPr="007E5190">
        <w:rPr>
          <w:rFonts w:ascii="Times New Roman" w:hAnsi="Times New Roman" w:cs="Times New Roman"/>
          <w:noProof/>
          <w:color w:val="4472C4" w:themeColor="accent1"/>
        </w:rPr>
        <w:t>1</w:t>
      </w:r>
      <w:r w:rsidR="00254C51" w:rsidRPr="007E5190">
        <w:rPr>
          <w:rFonts w:ascii="Times New Roman" w:hAnsi="Times New Roman" w:cs="Times New Roman"/>
          <w:color w:val="4472C4" w:themeColor="accent1"/>
        </w:rPr>
        <w:fldChar w:fldCharType="end"/>
      </w:r>
      <w:r w:rsidRPr="007E5190">
        <w:rPr>
          <w:rFonts w:ascii="Times New Roman" w:hAnsi="Times New Roman" w:cs="Times New Roman"/>
          <w:color w:val="4472C4" w:themeColor="accent1"/>
        </w:rPr>
        <w:t xml:space="preserve">-B </w:t>
      </w:r>
      <w:r w:rsidRPr="007E5190">
        <w:rPr>
          <w:rFonts w:ascii="Times New Roman" w:hAnsi="Times New Roman" w:cs="Times New Roman"/>
          <w:color w:val="0D0D0D" w:themeColor="text1" w:themeTint="F2"/>
        </w:rPr>
        <w:t>maintained its position within the active site. Its interaction with the protein was robust, with only slight rotational movements observed.</w:t>
      </w:r>
    </w:p>
    <w:p w14:paraId="2DCFF7F8" w14:textId="31DB4A50" w:rsidR="00794D96" w:rsidRPr="007E5190" w:rsidRDefault="00794D96" w:rsidP="00D75BEE">
      <w:pPr>
        <w:numPr>
          <w:ilvl w:val="0"/>
          <w:numId w:val="2"/>
        </w:num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Protein-Lupeol Analogue: In contrast, the Lupeol analogue (highlighted in blue) in</w:t>
      </w:r>
      <w:r w:rsidRPr="007E5190">
        <w:rPr>
          <w:rFonts w:ascii="Times New Roman" w:hAnsi="Times New Roman" w:cs="Times New Roman"/>
          <w:color w:val="4472C4" w:themeColor="accent1"/>
        </w:rPr>
        <w:t xml:space="preserve"> </w:t>
      </w:r>
      <w:r w:rsidR="00254C51" w:rsidRPr="007E5190">
        <w:rPr>
          <w:rFonts w:ascii="Times New Roman" w:hAnsi="Times New Roman" w:cs="Times New Roman"/>
          <w:color w:val="4472C4" w:themeColor="accent1"/>
        </w:rPr>
        <w:fldChar w:fldCharType="begin"/>
      </w:r>
      <w:r w:rsidR="00254C51" w:rsidRPr="007E5190">
        <w:rPr>
          <w:rFonts w:ascii="Times New Roman" w:hAnsi="Times New Roman" w:cs="Times New Roman"/>
          <w:color w:val="4472C4" w:themeColor="accent1"/>
        </w:rPr>
        <w:instrText xml:space="preserve"> REF _Ref213081731 \h </w:instrText>
      </w:r>
      <w:r w:rsidR="00F25C91" w:rsidRPr="007E5190">
        <w:rPr>
          <w:rFonts w:ascii="Times New Roman" w:hAnsi="Times New Roman" w:cs="Times New Roman"/>
          <w:color w:val="4472C4" w:themeColor="accent1"/>
        </w:rPr>
        <w:instrText xml:space="preserve"> \* MERGEFORMAT </w:instrText>
      </w:r>
      <w:r w:rsidR="00254C51" w:rsidRPr="007E5190">
        <w:rPr>
          <w:rFonts w:ascii="Times New Roman" w:hAnsi="Times New Roman" w:cs="Times New Roman"/>
          <w:color w:val="4472C4" w:themeColor="accent1"/>
        </w:rPr>
      </w:r>
      <w:r w:rsidR="00254C51" w:rsidRPr="007E5190">
        <w:rPr>
          <w:rFonts w:ascii="Times New Roman" w:hAnsi="Times New Roman" w:cs="Times New Roman"/>
          <w:color w:val="4472C4" w:themeColor="accent1"/>
        </w:rPr>
        <w:fldChar w:fldCharType="separate"/>
      </w:r>
      <w:r w:rsidR="00254C51" w:rsidRPr="007E5190">
        <w:rPr>
          <w:rFonts w:ascii="Times New Roman" w:hAnsi="Times New Roman" w:cs="Times New Roman"/>
          <w:color w:val="4472C4" w:themeColor="accent1"/>
        </w:rPr>
        <w:t xml:space="preserve">Figure </w:t>
      </w:r>
      <w:r w:rsidR="00BD4226" w:rsidRPr="007E5190">
        <w:rPr>
          <w:rFonts w:ascii="Times New Roman" w:hAnsi="Times New Roman" w:cs="Times New Roman"/>
          <w:color w:val="4472C4" w:themeColor="accent1"/>
        </w:rPr>
        <w:t>1</w:t>
      </w:r>
      <w:r w:rsidR="00254C51" w:rsidRPr="007E5190">
        <w:rPr>
          <w:rFonts w:ascii="Times New Roman" w:hAnsi="Times New Roman" w:cs="Times New Roman"/>
          <w:noProof/>
          <w:color w:val="4472C4" w:themeColor="accent1"/>
        </w:rPr>
        <w:t>1</w:t>
      </w:r>
      <w:r w:rsidR="00254C51" w:rsidRPr="007E5190">
        <w:rPr>
          <w:rFonts w:ascii="Times New Roman" w:hAnsi="Times New Roman" w:cs="Times New Roman"/>
          <w:color w:val="4472C4" w:themeColor="accent1"/>
        </w:rPr>
        <w:fldChar w:fldCharType="end"/>
      </w:r>
      <w:r w:rsidRPr="007E5190">
        <w:rPr>
          <w:rFonts w:ascii="Times New Roman" w:hAnsi="Times New Roman" w:cs="Times New Roman"/>
          <w:color w:val="4472C4" w:themeColor="accent1"/>
        </w:rPr>
        <w:t xml:space="preserve">-C </w:t>
      </w:r>
      <w:r w:rsidRPr="007E5190">
        <w:rPr>
          <w:rFonts w:ascii="Times New Roman" w:hAnsi="Times New Roman" w:cs="Times New Roman"/>
          <w:color w:val="0D0D0D" w:themeColor="text1" w:themeTint="F2"/>
        </w:rPr>
        <w:t>displayed more noticeable conformational drift and rotational movement within the binding pocket. While it remained physically associated, its less constrained position suggests a more dynamic interaction, aligning with its lower H-bond count.</w:t>
      </w:r>
    </w:p>
    <w:p w14:paraId="1E68AF33" w14:textId="633E594C" w:rsidR="00794D96" w:rsidRPr="007E5190" w:rsidRDefault="00794D96" w:rsidP="00D75BEE">
      <w:pPr>
        <w:numPr>
          <w:ilvl w:val="0"/>
          <w:numId w:val="2"/>
        </w:num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Protein-</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The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(highlighted in red) in </w:t>
      </w:r>
      <w:r w:rsidR="00254C51" w:rsidRPr="007E5190">
        <w:rPr>
          <w:rFonts w:ascii="Times New Roman" w:hAnsi="Times New Roman" w:cs="Times New Roman"/>
          <w:color w:val="4472C4" w:themeColor="accent1"/>
        </w:rPr>
        <w:fldChar w:fldCharType="begin"/>
      </w:r>
      <w:r w:rsidR="00254C51" w:rsidRPr="007E5190">
        <w:rPr>
          <w:rFonts w:ascii="Times New Roman" w:hAnsi="Times New Roman" w:cs="Times New Roman"/>
          <w:color w:val="4472C4" w:themeColor="accent1"/>
        </w:rPr>
        <w:instrText xml:space="preserve"> REF _Ref213081731 \h </w:instrText>
      </w:r>
      <w:r w:rsidR="00F25C91" w:rsidRPr="007E5190">
        <w:rPr>
          <w:rFonts w:ascii="Times New Roman" w:hAnsi="Times New Roman" w:cs="Times New Roman"/>
          <w:color w:val="4472C4" w:themeColor="accent1"/>
        </w:rPr>
        <w:instrText xml:space="preserve"> \* MERGEFORMAT </w:instrText>
      </w:r>
      <w:r w:rsidR="00254C51" w:rsidRPr="007E5190">
        <w:rPr>
          <w:rFonts w:ascii="Times New Roman" w:hAnsi="Times New Roman" w:cs="Times New Roman"/>
          <w:color w:val="4472C4" w:themeColor="accent1"/>
        </w:rPr>
      </w:r>
      <w:r w:rsidR="00254C51" w:rsidRPr="007E5190">
        <w:rPr>
          <w:rFonts w:ascii="Times New Roman" w:hAnsi="Times New Roman" w:cs="Times New Roman"/>
          <w:color w:val="4472C4" w:themeColor="accent1"/>
        </w:rPr>
        <w:fldChar w:fldCharType="separate"/>
      </w:r>
      <w:r w:rsidR="00254C51" w:rsidRPr="007E5190">
        <w:rPr>
          <w:rFonts w:ascii="Times New Roman" w:hAnsi="Times New Roman" w:cs="Times New Roman"/>
          <w:color w:val="4472C4" w:themeColor="accent1"/>
        </w:rPr>
        <w:t xml:space="preserve">Figure </w:t>
      </w:r>
      <w:r w:rsidR="00254C51" w:rsidRPr="007E5190">
        <w:rPr>
          <w:rFonts w:ascii="Times New Roman" w:hAnsi="Times New Roman" w:cs="Times New Roman"/>
          <w:noProof/>
          <w:color w:val="4472C4" w:themeColor="accent1"/>
        </w:rPr>
        <w:t>1</w:t>
      </w:r>
      <w:r w:rsidR="00BD4226" w:rsidRPr="007E5190">
        <w:rPr>
          <w:rFonts w:ascii="Times New Roman" w:hAnsi="Times New Roman" w:cs="Times New Roman"/>
          <w:noProof/>
          <w:color w:val="4472C4" w:themeColor="accent1"/>
        </w:rPr>
        <w:t>1</w:t>
      </w:r>
      <w:r w:rsidR="00254C51" w:rsidRPr="007E5190">
        <w:rPr>
          <w:rFonts w:ascii="Times New Roman" w:hAnsi="Times New Roman" w:cs="Times New Roman"/>
          <w:color w:val="4472C4" w:themeColor="accent1"/>
        </w:rPr>
        <w:fldChar w:fldCharType="end"/>
      </w:r>
      <w:r w:rsidRPr="007E5190">
        <w:rPr>
          <w:rFonts w:ascii="Times New Roman" w:hAnsi="Times New Roman" w:cs="Times New Roman"/>
          <w:color w:val="4472C4" w:themeColor="accent1"/>
        </w:rPr>
        <w:t xml:space="preserve">-D </w:t>
      </w:r>
      <w:r w:rsidRPr="007E5190">
        <w:rPr>
          <w:rFonts w:ascii="Times New Roman" w:hAnsi="Times New Roman" w:cs="Times New Roman"/>
          <w:color w:val="0D0D0D" w:themeColor="text1" w:themeTint="F2"/>
        </w:rPr>
        <w:t>showed the highest degree of conformational stability. Its position remained virtually unchanged throughout the simulation, reinforcing its robust interaction network.</w:t>
      </w:r>
    </w:p>
    <w:p w14:paraId="311603A8" w14:textId="34E43FF9" w:rsidR="00794D96" w:rsidRPr="007E5190" w:rsidRDefault="00794D96" w:rsidP="00DD06FA">
      <w:pPr>
        <w:pStyle w:val="Heading2"/>
        <w:rPr>
          <w:rFonts w:cs="Times New Roman"/>
        </w:rPr>
      </w:pPr>
      <w:r w:rsidRPr="007E5190">
        <w:rPr>
          <w:rFonts w:cs="Times New Roman"/>
        </w:rPr>
        <w:t>Advanced Conformational and Dynamic Analysis</w:t>
      </w:r>
    </w:p>
    <w:p w14:paraId="0350C1C8" w14:textId="77777777" w:rsidR="00C65D35" w:rsidRPr="007E5190" w:rsidRDefault="00C65D35"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Two advanced techniques were employed to understand the dominant, collective "functional" motions and the overall energetic landscape of binding. Conformational space was mapped using Principal Component Analysis (PCA), while correlated residue motions were investigated via Dynamic Cross-Correlation Matrix (DCCM) analysis.</w:t>
      </w:r>
    </w:p>
    <w:p w14:paraId="21C6E3B0" w14:textId="55679F22" w:rsidR="00794D96" w:rsidRPr="007E5190" w:rsidRDefault="00794D96" w:rsidP="00DD06FA">
      <w:pPr>
        <w:pStyle w:val="Heading2"/>
        <w:rPr>
          <w:rFonts w:cs="Times New Roman"/>
        </w:rPr>
      </w:pPr>
      <w:bookmarkStart w:id="13" w:name="_Ref213159240"/>
      <w:r w:rsidRPr="007E5190">
        <w:rPr>
          <w:rFonts w:cs="Times New Roman"/>
        </w:rPr>
        <w:t>Principal Component Analysis (PCA) and Free Energy Landscape (FEL)</w:t>
      </w:r>
      <w:bookmarkEnd w:id="13"/>
    </w:p>
    <w:p w14:paraId="6619AD54" w14:textId="59188969" w:rsidR="00794D96" w:rsidRPr="007E5190" w:rsidRDefault="00C65D35"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dominant collective motions (PC1 and PC2) were identified by performing PCA on the </w:t>
      </w:r>
      <m:oMath>
        <m:r>
          <w:rPr>
            <w:rFonts w:ascii="Cambria Math" w:hAnsi="Cambria Math" w:cs="Times New Roman"/>
            <w:color w:val="0D0D0D" w:themeColor="text1" w:themeTint="F2"/>
          </w:rPr>
          <m:t>Cα</m:t>
        </m:r>
      </m:oMath>
      <w:r w:rsidR="00794D96" w:rsidRPr="007E5190">
        <w:rPr>
          <w:rFonts w:ascii="Times New Roman" w:hAnsi="Times New Roman" w:cs="Times New Roman"/>
          <w:color w:val="0D0D0D" w:themeColor="text1" w:themeTint="F2"/>
        </w:rPr>
        <w:t xml:space="preserve"> atoms</w:t>
      </w:r>
      <w:r w:rsidRPr="007E5190">
        <w:rPr>
          <w:rFonts w:ascii="Times New Roman" w:hAnsi="Times New Roman" w:cs="Times New Roman"/>
          <w:color w:val="0D0D0D" w:themeColor="text1" w:themeTint="F2"/>
        </w:rPr>
        <w:t>.</w:t>
      </w:r>
      <w:r w:rsidR="00794D9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A Free Energy Landscape (FEL) was then generated by projecting the trajectories of all four complexes onto these components </w:t>
      </w:r>
      <w:r w:rsidR="00794D96" w:rsidRPr="007E5190">
        <w:rPr>
          <w:rFonts w:ascii="Times New Roman" w:hAnsi="Times New Roman" w:cs="Times New Roman"/>
          <w:color w:val="0D0D0D" w:themeColor="text1" w:themeTint="F2"/>
        </w:rPr>
        <w:t>(</w:t>
      </w:r>
      <w:r w:rsidR="00254C51" w:rsidRPr="007E5190">
        <w:rPr>
          <w:rFonts w:ascii="Times New Roman" w:hAnsi="Times New Roman" w:cs="Times New Roman"/>
          <w:color w:val="4472C4" w:themeColor="accent1"/>
        </w:rPr>
        <w:fldChar w:fldCharType="begin"/>
      </w:r>
      <w:r w:rsidR="00254C51" w:rsidRPr="007E5190">
        <w:rPr>
          <w:rFonts w:ascii="Times New Roman" w:hAnsi="Times New Roman" w:cs="Times New Roman"/>
          <w:color w:val="4472C4" w:themeColor="accent1"/>
        </w:rPr>
        <w:instrText xml:space="preserve"> REF _Ref213081873 \h </w:instrText>
      </w:r>
      <w:r w:rsidR="00F25C91" w:rsidRPr="007E5190">
        <w:rPr>
          <w:rFonts w:ascii="Times New Roman" w:hAnsi="Times New Roman" w:cs="Times New Roman"/>
          <w:color w:val="4472C4" w:themeColor="accent1"/>
        </w:rPr>
        <w:instrText xml:space="preserve"> \* MERGEFORMAT </w:instrText>
      </w:r>
      <w:r w:rsidR="00254C51" w:rsidRPr="007E5190">
        <w:rPr>
          <w:rFonts w:ascii="Times New Roman" w:hAnsi="Times New Roman" w:cs="Times New Roman"/>
          <w:color w:val="4472C4" w:themeColor="accent1"/>
        </w:rPr>
      </w:r>
      <w:r w:rsidR="00254C51" w:rsidRPr="007E5190">
        <w:rPr>
          <w:rFonts w:ascii="Times New Roman" w:hAnsi="Times New Roman" w:cs="Times New Roman"/>
          <w:color w:val="4472C4" w:themeColor="accent1"/>
        </w:rPr>
        <w:fldChar w:fldCharType="separate"/>
      </w:r>
      <w:r w:rsidR="00254C51" w:rsidRPr="007E5190">
        <w:rPr>
          <w:rFonts w:ascii="Times New Roman" w:hAnsi="Times New Roman" w:cs="Times New Roman"/>
          <w:color w:val="4472C4" w:themeColor="accent1"/>
        </w:rPr>
        <w:t xml:space="preserve">Figure </w:t>
      </w:r>
      <w:r w:rsidR="00254C51" w:rsidRPr="007E5190">
        <w:rPr>
          <w:rFonts w:ascii="Times New Roman" w:hAnsi="Times New Roman" w:cs="Times New Roman"/>
          <w:noProof/>
          <w:color w:val="4472C4" w:themeColor="accent1"/>
        </w:rPr>
        <w:t>1</w:t>
      </w:r>
      <w:r w:rsidR="00BD4226" w:rsidRPr="007E5190">
        <w:rPr>
          <w:rFonts w:ascii="Times New Roman" w:hAnsi="Times New Roman" w:cs="Times New Roman"/>
          <w:noProof/>
          <w:color w:val="4472C4" w:themeColor="accent1"/>
        </w:rPr>
        <w:t>2</w:t>
      </w:r>
      <w:r w:rsidR="00254C51" w:rsidRPr="007E5190">
        <w:rPr>
          <w:rFonts w:ascii="Times New Roman" w:hAnsi="Times New Roman" w:cs="Times New Roman"/>
          <w:color w:val="4472C4" w:themeColor="accent1"/>
        </w:rPr>
        <w:fldChar w:fldCharType="end"/>
      </w:r>
      <w:r w:rsidR="00794D9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A powerful confirmation of previous findings was provided by the FEL plots. A single, deep, and well-defined energy basin was exhibited by both the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(top-left) and the Oleanolic Acid control (bottom-right), which indicates they are "locked" into a single, dominant, low-energy binding mode. Conversely, a much broader and more rugged landscape with several shallow energy basins was observed for the Lupeol analogue (bottom-left), showing it is less stable and explores a wider range of conformations.</w:t>
      </w:r>
    </w:p>
    <w:p w14:paraId="021B59EB" w14:textId="4D384F29" w:rsidR="00794D96" w:rsidRPr="007E5190" w:rsidRDefault="00794D96" w:rsidP="00DD06FA">
      <w:pPr>
        <w:pStyle w:val="Heading2"/>
        <w:rPr>
          <w:rFonts w:cs="Times New Roman"/>
        </w:rPr>
      </w:pPr>
      <w:r w:rsidRPr="007E5190">
        <w:rPr>
          <w:rFonts w:cs="Times New Roman"/>
        </w:rPr>
        <w:t>Dynamic Cross-Correlation Matrix (DCCM)</w:t>
      </w:r>
    </w:p>
    <w:p w14:paraId="6E553D26" w14:textId="7DD2E7EB" w:rsidR="00794D96" w:rsidRPr="007E5190" w:rsidRDefault="00C65D35"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A DCCM analysis was performed to investigate the influence of ligand binding on internal protein communication</w:t>
      </w:r>
      <w:r w:rsidR="00794D96" w:rsidRPr="007E5190">
        <w:rPr>
          <w:rFonts w:ascii="Times New Roman" w:hAnsi="Times New Roman" w:cs="Times New Roman"/>
          <w:color w:val="0D0D0D" w:themeColor="text1" w:themeTint="F2"/>
        </w:rPr>
        <w:t>. The DCCM maps (</w:t>
      </w:r>
      <w:r w:rsidR="00254C51" w:rsidRPr="007E5190">
        <w:rPr>
          <w:rFonts w:ascii="Times New Roman" w:hAnsi="Times New Roman" w:cs="Times New Roman"/>
          <w:color w:val="4472C4" w:themeColor="accent1"/>
        </w:rPr>
        <w:fldChar w:fldCharType="begin"/>
      </w:r>
      <w:r w:rsidR="00254C51" w:rsidRPr="007E5190">
        <w:rPr>
          <w:rFonts w:ascii="Times New Roman" w:hAnsi="Times New Roman" w:cs="Times New Roman"/>
          <w:color w:val="4472C4" w:themeColor="accent1"/>
        </w:rPr>
        <w:instrText xml:space="preserve"> REF _Ref213081897 \h </w:instrText>
      </w:r>
      <w:r w:rsidR="00F25C91" w:rsidRPr="007E5190">
        <w:rPr>
          <w:rFonts w:ascii="Times New Roman" w:hAnsi="Times New Roman" w:cs="Times New Roman"/>
          <w:color w:val="4472C4" w:themeColor="accent1"/>
        </w:rPr>
        <w:instrText xml:space="preserve"> \* MERGEFORMAT </w:instrText>
      </w:r>
      <w:r w:rsidR="00254C51" w:rsidRPr="007E5190">
        <w:rPr>
          <w:rFonts w:ascii="Times New Roman" w:hAnsi="Times New Roman" w:cs="Times New Roman"/>
          <w:color w:val="4472C4" w:themeColor="accent1"/>
        </w:rPr>
      </w:r>
      <w:r w:rsidR="00254C51" w:rsidRPr="007E5190">
        <w:rPr>
          <w:rFonts w:ascii="Times New Roman" w:hAnsi="Times New Roman" w:cs="Times New Roman"/>
          <w:color w:val="4472C4" w:themeColor="accent1"/>
        </w:rPr>
        <w:fldChar w:fldCharType="separate"/>
      </w:r>
      <w:r w:rsidR="00254C51" w:rsidRPr="007E5190">
        <w:rPr>
          <w:rFonts w:ascii="Times New Roman" w:hAnsi="Times New Roman" w:cs="Times New Roman"/>
          <w:color w:val="4472C4" w:themeColor="accent1"/>
        </w:rPr>
        <w:t xml:space="preserve">Figure </w:t>
      </w:r>
      <w:r w:rsidR="00254C51" w:rsidRPr="007E5190">
        <w:rPr>
          <w:rFonts w:ascii="Times New Roman" w:hAnsi="Times New Roman" w:cs="Times New Roman"/>
          <w:noProof/>
          <w:color w:val="4472C4" w:themeColor="accent1"/>
        </w:rPr>
        <w:t>1</w:t>
      </w:r>
      <w:r w:rsidR="00BD4226" w:rsidRPr="007E5190">
        <w:rPr>
          <w:rFonts w:ascii="Times New Roman" w:hAnsi="Times New Roman" w:cs="Times New Roman"/>
          <w:noProof/>
          <w:color w:val="4472C4" w:themeColor="accent1"/>
        </w:rPr>
        <w:t>3</w:t>
      </w:r>
      <w:r w:rsidR="00254C51" w:rsidRPr="007E5190">
        <w:rPr>
          <w:rFonts w:ascii="Times New Roman" w:hAnsi="Times New Roman" w:cs="Times New Roman"/>
          <w:color w:val="4472C4" w:themeColor="accent1"/>
        </w:rPr>
        <w:fldChar w:fldCharType="end"/>
      </w:r>
      <w:r w:rsidR="00794D9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The correlated (red) and anti-correlated (blue) </w:t>
      </w:r>
      <w:r w:rsidRPr="007E5190">
        <w:rPr>
          <w:rFonts w:ascii="Times New Roman" w:hAnsi="Times New Roman" w:cs="Times New Roman"/>
          <w:color w:val="0D0D0D" w:themeColor="text1" w:themeTint="F2"/>
        </w:rPr>
        <w:lastRenderedPageBreak/>
        <w:t xml:space="preserve">motions of protein residues are visualized in these maps. A high degree of positive correlation (red) was shown in all four maps within the core structural elements (helices and beta-sheets), which indicates that they move as rigid bodies. </w:t>
      </w:r>
      <w:r w:rsidR="00794D96" w:rsidRPr="007E5190">
        <w:rPr>
          <w:rFonts w:ascii="Times New Roman" w:hAnsi="Times New Roman" w:cs="Times New Roman"/>
          <w:color w:val="0D0D0D" w:themeColor="text1" w:themeTint="F2"/>
        </w:rPr>
        <w:t xml:space="preserve">More importantly, the map for the </w:t>
      </w:r>
      <w:proofErr w:type="spellStart"/>
      <w:r w:rsidR="00794D96" w:rsidRPr="007E5190">
        <w:rPr>
          <w:rFonts w:ascii="Times New Roman" w:hAnsi="Times New Roman" w:cs="Times New Roman"/>
          <w:color w:val="0D0D0D" w:themeColor="text1" w:themeTint="F2"/>
        </w:rPr>
        <w:t>Maslinic</w:t>
      </w:r>
      <w:proofErr w:type="spellEnd"/>
      <w:r w:rsidR="00794D96" w:rsidRPr="007E5190">
        <w:rPr>
          <w:rFonts w:ascii="Times New Roman" w:hAnsi="Times New Roman" w:cs="Times New Roman"/>
          <w:color w:val="0D0D0D" w:themeColor="text1" w:themeTint="F2"/>
        </w:rPr>
        <w:t xml:space="preserve"> Acid analogue shows a particularly strong block of positive correlation between the binding site residues and adjacent structural elements, suggesting the ligand induces a more rigid and stabilized conformation.</w:t>
      </w:r>
    </w:p>
    <w:p w14:paraId="5717BE29" w14:textId="7654F80A" w:rsidR="00794D96" w:rsidRPr="007E5190" w:rsidRDefault="00794D96" w:rsidP="00DD06FA">
      <w:pPr>
        <w:pStyle w:val="Heading2"/>
        <w:rPr>
          <w:rFonts w:cs="Times New Roman"/>
        </w:rPr>
      </w:pPr>
      <w:bookmarkStart w:id="14" w:name="_Ref213159162"/>
      <w:r w:rsidRPr="007E5190">
        <w:rPr>
          <w:rFonts w:cs="Times New Roman"/>
        </w:rPr>
        <w:t>Binding Free Energy (MM/GBSA) Calculation</w:t>
      </w:r>
      <w:bookmarkEnd w:id="14"/>
    </w:p>
    <w:p w14:paraId="44E71644" w14:textId="17286BA0" w:rsidR="00794D96" w:rsidRPr="007E5190" w:rsidRDefault="00C65D35"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The Molecular Mechanics/Generalized Born Surface Area (MM/GBSA) method was employed to calculate and rank the binding free energies, which was done after the dynamic stability of the complexes was confirmed. This end-point calculation is considered far more rigorous than the original docking scores. In </w:t>
      </w:r>
      <w:r w:rsidRPr="007E5190">
        <w:rPr>
          <w:rFonts w:ascii="Times New Roman" w:hAnsi="Times New Roman" w:cs="Times New Roman"/>
          <w:color w:val="4472C4" w:themeColor="accent1"/>
        </w:rPr>
        <w:t>Table 8</w:t>
      </w:r>
      <w:r w:rsidRPr="007E5190">
        <w:rPr>
          <w:rFonts w:ascii="Times New Roman" w:hAnsi="Times New Roman" w:cs="Times New Roman"/>
          <w:color w:val="0D0D0D" w:themeColor="text1" w:themeTint="F2"/>
        </w:rPr>
        <w:t xml:space="preserve">, the final calculated binding free energies </w:t>
      </w:r>
      <w:r w:rsidR="00794D96" w:rsidRPr="007E5190">
        <w:rPr>
          <w:rFonts w:ascii="Times New Roman" w:hAnsi="Times New Roman" w:cs="Times New Roman"/>
          <w:color w:val="0D0D0D" w:themeColor="text1" w:themeTint="F2"/>
        </w:rPr>
        <w:t>(</w:t>
      </w:r>
      <m:oMath>
        <m:r>
          <m:rPr>
            <m:sty m:val="p"/>
          </m:rPr>
          <w:rPr>
            <w:rFonts w:ascii="Cambria Math" w:hAnsi="Cambria Math" w:cs="Times New Roman"/>
            <w:color w:val="0D0D0D" w:themeColor="text1" w:themeTint="F2"/>
          </w:rPr>
          <m:t>Δ</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G</m:t>
            </m:r>
          </m:e>
          <m:sub>
            <m:r>
              <w:rPr>
                <w:rFonts w:ascii="Cambria Math" w:hAnsi="Cambria Math" w:cs="Times New Roman"/>
                <w:color w:val="0D0D0D" w:themeColor="text1" w:themeTint="F2"/>
              </w:rPr>
              <m:t>bind</m:t>
            </m:r>
          </m:sub>
        </m:sSub>
      </m:oMath>
      <w:r w:rsidR="00794D96" w:rsidRPr="007E5190">
        <w:rPr>
          <w:rFonts w:ascii="Times New Roman" w:hAnsi="Times New Roman" w:cs="Times New Roman"/>
          <w:color w:val="0D0D0D" w:themeColor="text1" w:themeTint="F2"/>
        </w:rPr>
        <w:t xml:space="preserve">) and their individual energy components are presented in </w:t>
      </w:r>
      <w:r w:rsidR="00CC2B9D" w:rsidRPr="007E5190">
        <w:rPr>
          <w:rFonts w:ascii="Times New Roman" w:hAnsi="Times New Roman" w:cs="Times New Roman"/>
          <w:color w:val="4472C4" w:themeColor="accent1"/>
        </w:rPr>
        <w:fldChar w:fldCharType="begin"/>
      </w:r>
      <w:r w:rsidR="00CC2B9D" w:rsidRPr="007E5190">
        <w:rPr>
          <w:rFonts w:ascii="Times New Roman" w:hAnsi="Times New Roman" w:cs="Times New Roman"/>
          <w:color w:val="4472C4" w:themeColor="accent1"/>
        </w:rPr>
        <w:instrText xml:space="preserve"> REF _Ref213082033 \h </w:instrText>
      </w:r>
      <w:r w:rsidR="00F25C91" w:rsidRPr="007E5190">
        <w:rPr>
          <w:rFonts w:ascii="Times New Roman" w:hAnsi="Times New Roman" w:cs="Times New Roman"/>
          <w:color w:val="4472C4" w:themeColor="accent1"/>
        </w:rPr>
        <w:instrText xml:space="preserve"> \* MERGEFORMAT </w:instrText>
      </w:r>
      <w:r w:rsidR="00CC2B9D" w:rsidRPr="007E5190">
        <w:rPr>
          <w:rFonts w:ascii="Times New Roman" w:hAnsi="Times New Roman" w:cs="Times New Roman"/>
          <w:color w:val="4472C4" w:themeColor="accent1"/>
        </w:rPr>
      </w:r>
      <w:r w:rsidR="00CC2B9D" w:rsidRPr="007E5190">
        <w:rPr>
          <w:rFonts w:ascii="Times New Roman" w:hAnsi="Times New Roman" w:cs="Times New Roman"/>
          <w:color w:val="4472C4" w:themeColor="accent1"/>
        </w:rPr>
        <w:fldChar w:fldCharType="separate"/>
      </w:r>
      <w:r w:rsidR="00CC2B9D" w:rsidRPr="007E5190">
        <w:rPr>
          <w:rFonts w:ascii="Times New Roman" w:hAnsi="Times New Roman" w:cs="Times New Roman"/>
          <w:color w:val="4472C4" w:themeColor="accent1"/>
        </w:rPr>
        <w:t xml:space="preserve">Table </w:t>
      </w:r>
      <w:r w:rsidR="00CC2B9D" w:rsidRPr="007E5190">
        <w:rPr>
          <w:rFonts w:ascii="Times New Roman" w:hAnsi="Times New Roman" w:cs="Times New Roman"/>
          <w:noProof/>
          <w:color w:val="4472C4" w:themeColor="accent1"/>
        </w:rPr>
        <w:t>8</w:t>
      </w:r>
      <w:r w:rsidR="00CC2B9D" w:rsidRPr="007E5190">
        <w:rPr>
          <w:rFonts w:ascii="Times New Roman" w:hAnsi="Times New Roman" w:cs="Times New Roman"/>
          <w:color w:val="4472C4" w:themeColor="accent1"/>
        </w:rPr>
        <w:fldChar w:fldCharType="end"/>
      </w:r>
      <w:r w:rsidR="00794D96" w:rsidRPr="007E5190">
        <w:rPr>
          <w:rFonts w:ascii="Times New Roman" w:hAnsi="Times New Roman" w:cs="Times New Roman"/>
          <w:color w:val="0D0D0D" w:themeColor="text1" w:themeTint="F2"/>
        </w:rPr>
        <w:t>.</w:t>
      </w:r>
    </w:p>
    <w:p w14:paraId="370867A7" w14:textId="390A4024" w:rsidR="0070049F" w:rsidRPr="007E5190" w:rsidRDefault="0070049F" w:rsidP="0070049F">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Definitive quantitative validation and a re-ranking of the lead compounds are provided by these results. As the most potent inhibitor, the Hederagenin analogue (CID 137633443) was identified, possessing a total binding free energy of </w:t>
      </w:r>
      <m:oMath>
        <m:r>
          <w:rPr>
            <w:rFonts w:ascii="Cambria Math" w:hAnsi="Cambria Math" w:cs="Times New Roman"/>
            <w:color w:val="0D0D0D" w:themeColor="text1" w:themeTint="F2"/>
          </w:rPr>
          <m:t>-17.0</m:t>
        </m:r>
        <m:r>
          <w:rPr>
            <w:rFonts w:ascii="Cambria Math" w:hAnsi="Cambria Math" w:cs="Times New Roman"/>
            <w:color w:val="0D0D0D" w:themeColor="text1" w:themeTint="F2"/>
          </w:rPr>
          <m:t>9</m:t>
        </m:r>
        <m:r>
          <w:rPr>
            <w:rFonts w:ascii="Cambria Math" w:hAnsi="Cambria Math" w:cs="Times New Roman"/>
            <w:color w:val="0D0D0D" w:themeColor="text1" w:themeTint="F2"/>
          </w:rPr>
          <m:t xml:space="preserve"> kcal/mol</m:t>
        </m:r>
      </m:oMath>
      <w:r w:rsidRPr="007E5190">
        <w:rPr>
          <w:rFonts w:ascii="Times New Roman" w:hAnsi="Times New Roman" w:cs="Times New Roman"/>
          <w:color w:val="0D0D0D" w:themeColor="text1" w:themeTint="F2"/>
        </w:rPr>
        <w:t xml:space="preserve">. A high degree of significance is attached to this result, as it is stronger than the original positive control, Oleanolic Acid </w:t>
      </w:r>
      <m:oMath>
        <m:r>
          <w:rPr>
            <w:rFonts w:ascii="Cambria Math" w:hAnsi="Cambria Math" w:cs="Times New Roman"/>
            <w:color w:val="0D0D0D" w:themeColor="text1" w:themeTint="F2"/>
          </w:rPr>
          <m:t>(-10.88 kcal/mol</m:t>
        </m:r>
      </m:oMath>
      <w:r w:rsidRPr="007E5190">
        <w:rPr>
          <w:rFonts w:ascii="Times New Roman" w:hAnsi="Times New Roman" w:cs="Times New Roman"/>
          <w:color w:val="0D0D0D" w:themeColor="text1" w:themeTint="F2"/>
        </w:rPr>
        <w:t xml:space="preserve">). It is also revealed that a much weaker, less favorable binding energy of </w:t>
      </w:r>
      <m:oMath>
        <m:r>
          <w:rPr>
            <w:rFonts w:ascii="Cambria Math" w:hAnsi="Cambria Math" w:cs="Times New Roman"/>
            <w:color w:val="0D0D0D" w:themeColor="text1" w:themeTint="F2"/>
          </w:rPr>
          <m:t>-9.65 kcal/mol</m:t>
        </m:r>
      </m:oMath>
      <w:r w:rsidRPr="007E5190">
        <w:rPr>
          <w:rFonts w:ascii="Times New Roman" w:hAnsi="Times New Roman" w:cs="Times New Roman"/>
          <w:color w:val="0D0D0D" w:themeColor="text1" w:themeTint="F2"/>
        </w:rPr>
        <w:t xml:space="preserve"> was calculated for the initial top hit from docking, the Maslinic Acid analogue. This highlights the importance of MD-based free energy calculations, as the initial docking scores were not sufficient to correctly identify the most promising candidate.</w:t>
      </w:r>
    </w:p>
    <w:p w14:paraId="587D34CD" w14:textId="3F75EBD9" w:rsidR="0070049F" w:rsidRPr="007E5190" w:rsidRDefault="0070049F" w:rsidP="0070049F">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A perfect correlation between the data and the stability analysis was also found. The weakest binding free energy of </w:t>
      </w:r>
      <m:oMath>
        <m:r>
          <w:rPr>
            <w:rFonts w:ascii="Cambria Math" w:hAnsi="Cambria Math" w:cs="Times New Roman"/>
            <w:color w:val="0D0D0D" w:themeColor="text1" w:themeTint="F2"/>
          </w:rPr>
          <m:t>-9.33 kcal/mol</m:t>
        </m:r>
      </m:oMath>
      <w:r w:rsidRPr="007E5190">
        <w:rPr>
          <w:rFonts w:ascii="Times New Roman" w:hAnsi="Times New Roman" w:cs="Times New Roman"/>
          <w:color w:val="0D0D0D" w:themeColor="text1" w:themeTint="F2"/>
        </w:rPr>
        <w:t xml:space="preserve"> </w:t>
      </w:r>
      <w:r w:rsidRPr="007E5190">
        <w:rPr>
          <w:rFonts w:ascii="Times New Roman" w:eastAsiaTheme="minorEastAsia" w:hAnsi="Times New Roman" w:cs="Times New Roman"/>
          <w:color w:val="0D0D0D" w:themeColor="text1" w:themeTint="F2"/>
        </w:rPr>
        <w:t>(</w:t>
      </w:r>
      <w:r w:rsidRPr="007E5190">
        <w:rPr>
          <w:rFonts w:ascii="Times New Roman" w:eastAsiaTheme="minorEastAsia" w:hAnsi="Times New Roman" w:cs="Times New Roman"/>
          <w:color w:val="4472C4" w:themeColor="accent1"/>
        </w:rPr>
        <w:fldChar w:fldCharType="begin"/>
      </w:r>
      <w:r w:rsidRPr="007E5190">
        <w:rPr>
          <w:rFonts w:ascii="Times New Roman" w:eastAsiaTheme="minorEastAsia" w:hAnsi="Times New Roman" w:cs="Times New Roman"/>
          <w:color w:val="4472C4" w:themeColor="accent1"/>
        </w:rPr>
        <w:instrText xml:space="preserve"> REF _Ref213082033 \h  \* MERGEFORMAT </w:instrText>
      </w:r>
      <w:r w:rsidRPr="007E5190">
        <w:rPr>
          <w:rFonts w:ascii="Times New Roman" w:eastAsiaTheme="minorEastAsia" w:hAnsi="Times New Roman" w:cs="Times New Roman"/>
          <w:color w:val="4472C4" w:themeColor="accent1"/>
        </w:rPr>
      </w:r>
      <w:r w:rsidRPr="007E5190">
        <w:rPr>
          <w:rFonts w:ascii="Times New Roman" w:eastAsiaTheme="minorEastAsia" w:hAnsi="Times New Roman" w:cs="Times New Roman"/>
          <w:color w:val="4472C4" w:themeColor="accent1"/>
        </w:rPr>
        <w:fldChar w:fldCharType="separate"/>
      </w:r>
      <w:r w:rsidRPr="007E5190">
        <w:rPr>
          <w:rFonts w:ascii="Times New Roman" w:hAnsi="Times New Roman" w:cs="Times New Roman"/>
          <w:color w:val="4472C4" w:themeColor="accent1"/>
        </w:rPr>
        <w:t>Table</w:t>
      </w:r>
      <w:r w:rsidRPr="007E5190">
        <w:rPr>
          <w:rFonts w:ascii="Times New Roman" w:hAnsi="Times New Roman" w:cs="Times New Roman"/>
          <w:color w:val="4472C4" w:themeColor="accent1"/>
        </w:rPr>
        <w:t xml:space="preserve"> </w:t>
      </w:r>
      <w:r w:rsidRPr="007E5190">
        <w:rPr>
          <w:rFonts w:ascii="Times New Roman" w:hAnsi="Times New Roman" w:cs="Times New Roman"/>
          <w:noProof/>
          <w:color w:val="4472C4" w:themeColor="accent1"/>
        </w:rPr>
        <w:t>8</w:t>
      </w:r>
      <w:r w:rsidRPr="007E5190">
        <w:rPr>
          <w:rFonts w:ascii="Times New Roman" w:eastAsiaTheme="minorEastAsia" w:hAnsi="Times New Roman" w:cs="Times New Roman"/>
          <w:color w:val="4472C4" w:themeColor="accent1"/>
        </w:rPr>
        <w:fldChar w:fldCharType="end"/>
      </w:r>
      <w:r w:rsidRPr="007E5190">
        <w:rPr>
          <w:rFonts w:ascii="Times New Roman" w:eastAsiaTheme="minorEastAsia" w:hAnsi="Times New Roman" w:cs="Times New Roman"/>
          <w:color w:val="0D0D0D" w:themeColor="text1" w:themeTint="F2"/>
        </w:rPr>
        <w:t>)</w:t>
      </w:r>
      <w:r w:rsidRPr="007E5190">
        <w:rPr>
          <w:rFonts w:ascii="Times New Roman" w:hAnsi="Times New Roman" w:cs="Times New Roman"/>
          <w:color w:val="0D0D0D" w:themeColor="text1" w:themeTint="F2"/>
        </w:rPr>
        <w:t xml:space="preserve"> was recorded for the Lupeol analogue (CID 70626379). This was consistent with earlier findings that this compound exhibited poor H-bonding (Intermolecular Hydrogen Bonds) and an unstable, high-energy conformational profile (Principal Component Analysis (PCA) and Free Energy Landscape (FEL)). The Hederagenin analogue's strong binding is driven by a potent combination of van der Waals (</w:t>
      </w:r>
      <m:oMath>
        <m:r>
          <m:rPr>
            <m:sty m:val="p"/>
          </m:rPr>
          <w:rPr>
            <w:rFonts w:ascii="Cambria Math" w:hAnsi="Cambria Math" w:cs="Times New Roman"/>
            <w:color w:val="0D0D0D" w:themeColor="text1" w:themeTint="F2"/>
          </w:rPr>
          <m:t>Δ</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E</m:t>
            </m:r>
          </m:e>
          <m:sub>
            <m:r>
              <w:rPr>
                <w:rFonts w:ascii="Cambria Math" w:hAnsi="Cambria Math" w:cs="Times New Roman"/>
                <w:color w:val="0D0D0D" w:themeColor="text1" w:themeTint="F2"/>
              </w:rPr>
              <m:t>vdw</m:t>
            </m:r>
          </m:sub>
        </m:sSub>
        <m:r>
          <w:rPr>
            <w:rFonts w:ascii="Cambria Math" w:hAnsi="Cambria Math" w:cs="Times New Roman"/>
            <w:color w:val="0D0D0D" w:themeColor="text1" w:themeTint="F2"/>
          </w:rPr>
          <m:t>=-22.80 kcal/mol</m:t>
        </m:r>
      </m:oMath>
      <w:r w:rsidRPr="007E5190">
        <w:rPr>
          <w:rFonts w:ascii="Times New Roman" w:hAnsi="Times New Roman" w:cs="Times New Roman"/>
          <w:color w:val="0D0D0D" w:themeColor="text1" w:themeTint="F2"/>
        </w:rPr>
        <w:t>) and electrostatic (</w:t>
      </w:r>
      <m:oMath>
        <m:r>
          <m:rPr>
            <m:sty m:val="p"/>
          </m:rPr>
          <w:rPr>
            <w:rFonts w:ascii="Cambria Math" w:hAnsi="Cambria Math" w:cs="Times New Roman"/>
            <w:color w:val="0D0D0D" w:themeColor="text1" w:themeTint="F2"/>
          </w:rPr>
          <m:t>Δ</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E</m:t>
            </m:r>
          </m:e>
          <m:sub>
            <m:r>
              <w:rPr>
                <w:rFonts w:ascii="Cambria Math" w:hAnsi="Cambria Math" w:cs="Times New Roman"/>
                <w:color w:val="0D0D0D" w:themeColor="text1" w:themeTint="F2"/>
              </w:rPr>
              <m:t>elec</m:t>
            </m:r>
          </m:sub>
        </m:sSub>
        <m:r>
          <m:rPr>
            <m:sty m:val="p"/>
          </m:rPr>
          <w:rPr>
            <w:rFonts w:ascii="Cambria Math" w:hAnsi="Cambria Math" w:cs="Times New Roman"/>
            <w:color w:val="0D0D0D" w:themeColor="text1" w:themeTint="F2"/>
          </w:rPr>
          <m:t>= -9.31 kcal/mol</m:t>
        </m:r>
      </m:oMath>
      <w:r w:rsidRPr="007E5190">
        <w:rPr>
          <w:rFonts w:ascii="Times New Roman" w:hAnsi="Times New Roman" w:cs="Times New Roman"/>
          <w:color w:val="0D0D0D" w:themeColor="text1" w:themeTint="F2"/>
        </w:rPr>
        <w:t>) interactions.</w:t>
      </w:r>
    </w:p>
    <w:p w14:paraId="430FAB92" w14:textId="1686398A" w:rsidR="007C33A3" w:rsidRPr="007E5190" w:rsidRDefault="007C33A3" w:rsidP="007C33A3">
      <w:pPr>
        <w:pStyle w:val="Caption"/>
        <w:keepNext/>
        <w:rPr>
          <w:rFonts w:ascii="Times New Roman" w:hAnsi="Times New Roman" w:cs="Times New Roman"/>
          <w:color w:val="0D0D0D" w:themeColor="text1" w:themeTint="F2"/>
          <w:sz w:val="24"/>
          <w:szCs w:val="24"/>
        </w:rPr>
      </w:pPr>
      <w:bookmarkStart w:id="15" w:name="_Ref213082033"/>
      <w:r w:rsidRPr="007E5190">
        <w:rPr>
          <w:rFonts w:ascii="Times New Roman" w:hAnsi="Times New Roman" w:cs="Times New Roman"/>
          <w:color w:val="0D0D0D" w:themeColor="text1" w:themeTint="F2"/>
          <w:sz w:val="24"/>
          <w:szCs w:val="24"/>
        </w:rPr>
        <w:lastRenderedPageBreak/>
        <w:t xml:space="preserve">Table </w:t>
      </w:r>
      <w:r w:rsidRPr="007E5190">
        <w:rPr>
          <w:rFonts w:ascii="Times New Roman" w:hAnsi="Times New Roman" w:cs="Times New Roman"/>
          <w:color w:val="0D0D0D" w:themeColor="text1" w:themeTint="F2"/>
          <w:sz w:val="24"/>
          <w:szCs w:val="24"/>
        </w:rPr>
        <w:fldChar w:fldCharType="begin"/>
      </w:r>
      <w:r w:rsidRPr="007E5190">
        <w:rPr>
          <w:rFonts w:ascii="Times New Roman" w:hAnsi="Times New Roman" w:cs="Times New Roman"/>
          <w:color w:val="0D0D0D" w:themeColor="text1" w:themeTint="F2"/>
          <w:sz w:val="24"/>
          <w:szCs w:val="24"/>
        </w:rPr>
        <w:instrText xml:space="preserve"> SEQ Table \* ARABIC </w:instrText>
      </w:r>
      <w:r w:rsidRPr="007E5190">
        <w:rPr>
          <w:rFonts w:ascii="Times New Roman" w:hAnsi="Times New Roman" w:cs="Times New Roman"/>
          <w:color w:val="0D0D0D" w:themeColor="text1" w:themeTint="F2"/>
          <w:sz w:val="24"/>
          <w:szCs w:val="24"/>
        </w:rPr>
        <w:fldChar w:fldCharType="separate"/>
      </w:r>
      <w:r w:rsidR="002E56DD" w:rsidRPr="007E5190">
        <w:rPr>
          <w:rFonts w:ascii="Times New Roman" w:hAnsi="Times New Roman" w:cs="Times New Roman"/>
          <w:noProof/>
          <w:color w:val="0D0D0D" w:themeColor="text1" w:themeTint="F2"/>
          <w:sz w:val="24"/>
          <w:szCs w:val="24"/>
        </w:rPr>
        <w:t>8</w:t>
      </w:r>
      <w:r w:rsidRPr="007E5190">
        <w:rPr>
          <w:rFonts w:ascii="Times New Roman" w:hAnsi="Times New Roman" w:cs="Times New Roman"/>
          <w:color w:val="0D0D0D" w:themeColor="text1" w:themeTint="F2"/>
          <w:sz w:val="24"/>
          <w:szCs w:val="24"/>
        </w:rPr>
        <w:fldChar w:fldCharType="end"/>
      </w:r>
      <w:bookmarkEnd w:id="15"/>
      <w:r w:rsidRPr="007E5190">
        <w:rPr>
          <w:rFonts w:ascii="Times New Roman" w:hAnsi="Times New Roman" w:cs="Times New Roman"/>
          <w:color w:val="0D0D0D" w:themeColor="text1" w:themeTint="F2"/>
          <w:sz w:val="24"/>
          <w:szCs w:val="24"/>
        </w:rPr>
        <w:t>. Binding Free Energy (</w:t>
      </w:r>
      <m:oMath>
        <m:r>
          <m:rPr>
            <m:sty m:val="bi"/>
          </m:rPr>
          <w:rPr>
            <w:rFonts w:ascii="Cambria Math" w:hAnsi="Cambria Math" w:cs="Times New Roman"/>
            <w:color w:val="0D0D0D" w:themeColor="text1" w:themeTint="F2"/>
            <w:sz w:val="24"/>
            <w:szCs w:val="24"/>
          </w:rPr>
          <m:t>Δ</m:t>
        </m:r>
        <m:sSub>
          <m:sSubPr>
            <m:ctrlPr>
              <w:rPr>
                <w:rFonts w:ascii="Cambria Math" w:hAnsi="Cambria Math" w:cs="Times New Roman"/>
                <w:i/>
                <w:color w:val="0D0D0D" w:themeColor="text1" w:themeTint="F2"/>
                <w:sz w:val="24"/>
                <w:szCs w:val="24"/>
              </w:rPr>
            </m:ctrlPr>
          </m:sSubPr>
          <m:e>
            <m:r>
              <m:rPr>
                <m:sty m:val="bi"/>
              </m:rPr>
              <w:rPr>
                <w:rFonts w:ascii="Cambria Math" w:hAnsi="Cambria Math" w:cs="Times New Roman"/>
                <w:color w:val="0D0D0D" w:themeColor="text1" w:themeTint="F2"/>
                <w:sz w:val="24"/>
                <w:szCs w:val="24"/>
              </w:rPr>
              <m:t>G</m:t>
            </m:r>
          </m:e>
          <m:sub>
            <m:r>
              <m:rPr>
                <m:sty m:val="bi"/>
              </m:rPr>
              <w:rPr>
                <w:rFonts w:ascii="Cambria Math" w:hAnsi="Cambria Math" w:cs="Times New Roman"/>
                <w:color w:val="0D0D0D" w:themeColor="text1" w:themeTint="F2"/>
                <w:sz w:val="24"/>
                <w:szCs w:val="24"/>
              </w:rPr>
              <m:t>bind</m:t>
            </m:r>
          </m:sub>
        </m:sSub>
      </m:oMath>
      <w:r w:rsidR="00BE7CFD" w:rsidRPr="007E5190">
        <w:rPr>
          <w:rFonts w:ascii="Times New Roman" w:hAnsi="Times New Roman" w:cs="Times New Roman"/>
          <w:color w:val="0D0D0D" w:themeColor="text1" w:themeTint="F2"/>
          <w:sz w:val="24"/>
          <w:szCs w:val="24"/>
        </w:rPr>
        <w:t xml:space="preserve"> </w:t>
      </w:r>
      <w:r w:rsidRPr="007E5190">
        <w:rPr>
          <w:rFonts w:ascii="Times New Roman" w:hAnsi="Times New Roman" w:cs="Times New Roman"/>
          <w:color w:val="0D0D0D" w:themeColor="text1" w:themeTint="F2"/>
          <w:sz w:val="24"/>
          <w:szCs w:val="24"/>
        </w:rPr>
        <w:t>) and its Components (in kcal/mol) from MM/GBSA analysis.</w:t>
      </w:r>
    </w:p>
    <w:tbl>
      <w:tblPr>
        <w:tblStyle w:val="TableGrid"/>
        <w:tblW w:w="0" w:type="auto"/>
        <w:tblBorders>
          <w:left w:val="none" w:sz="0" w:space="0" w:color="auto"/>
          <w:right w:val="none" w:sz="0" w:space="0" w:color="auto"/>
        </w:tblBorders>
        <w:tblLayout w:type="fixed"/>
        <w:tblLook w:val="04A0" w:firstRow="1" w:lastRow="0" w:firstColumn="1" w:lastColumn="0" w:noHBand="0" w:noVBand="1"/>
      </w:tblPr>
      <w:tblGrid>
        <w:gridCol w:w="1560"/>
        <w:gridCol w:w="1560"/>
        <w:gridCol w:w="1560"/>
        <w:gridCol w:w="1560"/>
        <w:gridCol w:w="1560"/>
        <w:gridCol w:w="1560"/>
      </w:tblGrid>
      <w:tr w:rsidR="005E631E" w:rsidRPr="007E5190" w14:paraId="25CB11AD" w14:textId="77777777" w:rsidTr="007E5190">
        <w:trPr>
          <w:trHeight w:val="1615"/>
          <w:tblHeader/>
        </w:trPr>
        <w:tc>
          <w:tcPr>
            <w:tcW w:w="1560" w:type="dxa"/>
            <w:tcBorders>
              <w:right w:val="nil"/>
            </w:tcBorders>
            <w:vAlign w:val="center"/>
          </w:tcPr>
          <w:p w14:paraId="07B7544D" w14:textId="6D388162" w:rsidR="0071060A" w:rsidRPr="007E5190" w:rsidRDefault="0071060A" w:rsidP="009A7CF3">
            <w:pPr>
              <w:spacing w:after="160" w:line="278" w:lineRule="auto"/>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Compound</w:t>
            </w:r>
          </w:p>
        </w:tc>
        <w:tc>
          <w:tcPr>
            <w:tcW w:w="1560" w:type="dxa"/>
            <w:tcBorders>
              <w:left w:val="nil"/>
              <w:right w:val="nil"/>
            </w:tcBorders>
            <w:vAlign w:val="center"/>
          </w:tcPr>
          <w:p w14:paraId="2ECBC4C9" w14:textId="7A45B64E" w:rsidR="0071060A" w:rsidRPr="007E5190" w:rsidRDefault="0071060A" w:rsidP="009A7CF3">
            <w:pPr>
              <w:jc w:val="center"/>
              <w:rPr>
                <w:rFonts w:ascii="Times New Roman" w:eastAsia="Calibri" w:hAnsi="Times New Roman" w:cs="Times New Roman"/>
                <w:b/>
                <w:bCs/>
                <w:color w:val="0D0D0D" w:themeColor="text1" w:themeTint="F2"/>
                <w:lang w:val="sv-SE"/>
              </w:rPr>
            </w:pPr>
            <w:r w:rsidRPr="007E5190">
              <w:rPr>
                <w:rFonts w:ascii="Times New Roman" w:eastAsia="Times New Roman" w:hAnsi="Times New Roman" w:cs="Times New Roman"/>
                <w:color w:val="0D0D0D" w:themeColor="text1" w:themeTint="F2"/>
                <w:kern w:val="0"/>
                <w:sz w:val="22"/>
                <w:szCs w:val="22"/>
                <w:lang w:val="sv-SE"/>
                <w14:ligatures w14:val="none"/>
              </w:rPr>
              <w:t>Van der Waals</w:t>
            </w:r>
          </w:p>
          <w:p w14:paraId="5A490CA3" w14:textId="77777777" w:rsidR="0071060A" w:rsidRPr="007E5190" w:rsidRDefault="0071060A" w:rsidP="009A7CF3">
            <w:pPr>
              <w:spacing w:after="160" w:line="278" w:lineRule="auto"/>
              <w:jc w:val="center"/>
              <w:rPr>
                <w:rFonts w:ascii="Times New Roman" w:eastAsiaTheme="minorEastAsia" w:hAnsi="Times New Roman" w:cs="Times New Roman"/>
                <w:b/>
                <w:bCs/>
                <w:color w:val="0D0D0D" w:themeColor="text1" w:themeTint="F2"/>
                <w:lang w:val="sv-SE"/>
              </w:rPr>
            </w:pPr>
            <m:oMathPara>
              <m:oMath>
                <m:r>
                  <m:rPr>
                    <m:sty m:val="bi"/>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E</m:t>
                    </m:r>
                  </m:e>
                  <m:sub>
                    <m:r>
                      <m:rPr>
                        <m:sty m:val="bi"/>
                      </m:rPr>
                      <w:rPr>
                        <w:rFonts w:ascii="Cambria Math" w:hAnsi="Cambria Math" w:cs="Times New Roman"/>
                        <w:color w:val="0D0D0D" w:themeColor="text1" w:themeTint="F2"/>
                      </w:rPr>
                      <m:t>vdw</m:t>
                    </m:r>
                  </m:sub>
                </m:sSub>
              </m:oMath>
            </m:oMathPara>
          </w:p>
          <w:p w14:paraId="1F29C87E" w14:textId="6C744A97" w:rsidR="0071060A" w:rsidRPr="007E5190" w:rsidRDefault="0071060A" w:rsidP="009A7CF3">
            <w:pPr>
              <w:spacing w:after="160" w:line="278" w:lineRule="auto"/>
              <w:jc w:val="center"/>
              <w:rPr>
                <w:rFonts w:ascii="Times New Roman" w:eastAsia="Calibri" w:hAnsi="Times New Roman" w:cs="Times New Roman"/>
                <w:b/>
                <w:bCs/>
                <w:color w:val="0D0D0D" w:themeColor="text1" w:themeTint="F2"/>
                <w:lang w:val="sv-SE"/>
              </w:rPr>
            </w:pPr>
            <w:r w:rsidRPr="007E5190">
              <w:rPr>
                <w:rFonts w:ascii="Times New Roman" w:hAnsi="Times New Roman" w:cs="Times New Roman"/>
                <w:b/>
                <w:bCs/>
                <w:color w:val="0D0D0D" w:themeColor="text1" w:themeTint="F2"/>
              </w:rPr>
              <w:t>​</w:t>
            </w:r>
            <w:r w:rsidRPr="007E5190">
              <w:rPr>
                <w:rFonts w:ascii="Times New Roman" w:eastAsia="Times New Roman" w:hAnsi="Times New Roman" w:cs="Times New Roman"/>
                <w:color w:val="0D0D0D" w:themeColor="text1" w:themeTint="F2"/>
                <w:kern w:val="0"/>
                <w:sz w:val="22"/>
                <w:szCs w:val="22"/>
                <w:lang w:val="sv-SE"/>
                <w14:ligatures w14:val="none"/>
              </w:rPr>
              <w:t>(kJ/mol)</w:t>
            </w:r>
          </w:p>
        </w:tc>
        <w:tc>
          <w:tcPr>
            <w:tcW w:w="1560" w:type="dxa"/>
            <w:tcBorders>
              <w:left w:val="nil"/>
              <w:right w:val="nil"/>
            </w:tcBorders>
            <w:vAlign w:val="center"/>
          </w:tcPr>
          <w:p w14:paraId="74414005" w14:textId="2C871FB6" w:rsidR="0071060A" w:rsidRPr="007E5190" w:rsidRDefault="0071060A" w:rsidP="009A7CF3">
            <w:pPr>
              <w:jc w:val="center"/>
              <w:rPr>
                <w:rFonts w:ascii="Times New Roman" w:eastAsia="Times New Roman" w:hAnsi="Times New Roman" w:cs="Times New Roman"/>
                <w:b/>
                <w:bCs/>
                <w:color w:val="0D0D0D" w:themeColor="text1" w:themeTint="F2"/>
              </w:rPr>
            </w:pPr>
            <w:r w:rsidRPr="007E5190">
              <w:rPr>
                <w:rFonts w:ascii="Times New Roman" w:eastAsia="Times New Roman" w:hAnsi="Times New Roman" w:cs="Times New Roman"/>
                <w:color w:val="0D0D0D" w:themeColor="text1" w:themeTint="F2"/>
                <w:kern w:val="0"/>
                <w:sz w:val="22"/>
                <w:szCs w:val="22"/>
                <w14:ligatures w14:val="none"/>
              </w:rPr>
              <w:t>Electrostatic</w:t>
            </w:r>
          </w:p>
          <w:p w14:paraId="0CB1E0DD" w14:textId="77777777" w:rsidR="00BD0DEC" w:rsidRPr="007E5190" w:rsidRDefault="0071060A" w:rsidP="009A7CF3">
            <w:pPr>
              <w:spacing w:after="160" w:line="278" w:lineRule="auto"/>
              <w:jc w:val="center"/>
              <w:rPr>
                <w:rFonts w:ascii="Times New Roman" w:eastAsia="Times New Roman" w:hAnsi="Times New Roman" w:cs="Times New Roman"/>
                <w:b/>
                <w:bCs/>
                <w:color w:val="0D0D0D" w:themeColor="text1" w:themeTint="F2"/>
              </w:rPr>
            </w:pPr>
            <m:oMathPara>
              <m:oMath>
                <m:r>
                  <m:rPr>
                    <m:sty m:val="bi"/>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E</m:t>
                    </m:r>
                  </m:e>
                  <m:sub>
                    <m:r>
                      <m:rPr>
                        <m:sty m:val="bi"/>
                      </m:rPr>
                      <w:rPr>
                        <w:rFonts w:ascii="Cambria Math" w:hAnsi="Cambria Math" w:cs="Times New Roman"/>
                        <w:color w:val="0D0D0D" w:themeColor="text1" w:themeTint="F2"/>
                      </w:rPr>
                      <m:t>elec</m:t>
                    </m:r>
                  </m:sub>
                </m:sSub>
              </m:oMath>
            </m:oMathPara>
          </w:p>
          <w:p w14:paraId="20FD5E4B" w14:textId="1F0C343C" w:rsidR="0071060A" w:rsidRPr="007E5190" w:rsidRDefault="00BD0DEC" w:rsidP="009A7CF3">
            <w:pPr>
              <w:spacing w:after="160" w:line="278" w:lineRule="auto"/>
              <w:jc w:val="center"/>
              <w:rPr>
                <w:rFonts w:ascii="Times New Roman" w:eastAsia="Times New Roman" w:hAnsi="Times New Roman" w:cs="Times New Roman"/>
                <w:b/>
                <w:bCs/>
                <w:color w:val="0D0D0D" w:themeColor="text1" w:themeTint="F2"/>
              </w:rPr>
            </w:pPr>
            <w:r w:rsidRPr="007E5190">
              <w:rPr>
                <w:rFonts w:ascii="Times New Roman" w:eastAsia="Times New Roman" w:hAnsi="Times New Roman" w:cs="Times New Roman"/>
                <w:color w:val="0D0D0D" w:themeColor="text1" w:themeTint="F2"/>
                <w:kern w:val="0"/>
                <w:sz w:val="22"/>
                <w:szCs w:val="22"/>
                <w:lang w:val="sv-SE"/>
                <w14:ligatures w14:val="none"/>
              </w:rPr>
              <w:t>(kJ/mol)</w:t>
            </w:r>
            <w:r w:rsidR="0071060A" w:rsidRPr="007E5190">
              <w:rPr>
                <w:rFonts w:ascii="Times New Roman" w:hAnsi="Times New Roman" w:cs="Times New Roman"/>
                <w:b/>
                <w:bCs/>
                <w:color w:val="0D0D0D" w:themeColor="text1" w:themeTint="F2"/>
              </w:rPr>
              <w:t>​</w:t>
            </w:r>
          </w:p>
        </w:tc>
        <w:tc>
          <w:tcPr>
            <w:tcW w:w="1560" w:type="dxa"/>
            <w:tcBorders>
              <w:left w:val="nil"/>
              <w:right w:val="nil"/>
            </w:tcBorders>
            <w:vAlign w:val="center"/>
          </w:tcPr>
          <w:p w14:paraId="03D1265C" w14:textId="5F6FCB04" w:rsidR="0071060A" w:rsidRPr="007E5190" w:rsidRDefault="0071060A" w:rsidP="009A7CF3">
            <w:pPr>
              <w:jc w:val="center"/>
              <w:rPr>
                <w:rFonts w:ascii="Times New Roman" w:eastAsia="Calibri" w:hAnsi="Times New Roman" w:cs="Times New Roman"/>
                <w:b/>
                <w:bCs/>
                <w:color w:val="0D0D0D" w:themeColor="text1" w:themeTint="F2"/>
                <w:lang w:val="sv-SE"/>
              </w:rPr>
            </w:pPr>
            <w:r w:rsidRPr="007E5190">
              <w:rPr>
                <w:rFonts w:ascii="Times New Roman" w:eastAsia="Times New Roman" w:hAnsi="Times New Roman" w:cs="Times New Roman"/>
                <w:color w:val="0D0D0D" w:themeColor="text1" w:themeTint="F2"/>
                <w:kern w:val="0"/>
                <w:sz w:val="22"/>
                <w:szCs w:val="22"/>
                <w:lang w:val="sv-SE"/>
                <w14:ligatures w14:val="none"/>
              </w:rPr>
              <w:t>Polar solvation</w:t>
            </w:r>
          </w:p>
          <w:p w14:paraId="2FE38F1F" w14:textId="77777777" w:rsidR="0071060A" w:rsidRPr="007E5190" w:rsidRDefault="0071060A" w:rsidP="009A7CF3">
            <w:pPr>
              <w:spacing w:after="160" w:line="278" w:lineRule="auto"/>
              <w:jc w:val="center"/>
              <w:rPr>
                <w:rFonts w:ascii="Times New Roman" w:hAnsi="Times New Roman" w:cs="Times New Roman"/>
                <w:b/>
                <w:bCs/>
                <w:color w:val="0D0D0D" w:themeColor="text1" w:themeTint="F2"/>
                <w:lang w:val="sv-SE"/>
              </w:rPr>
            </w:pPr>
            <m:oMath>
              <m:r>
                <m:rPr>
                  <m:sty m:val="bi"/>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GB</m:t>
                  </m:r>
                </m:sub>
              </m:sSub>
            </m:oMath>
            <w:r w:rsidRPr="007E5190">
              <w:rPr>
                <w:rFonts w:ascii="Times New Roman" w:hAnsi="Times New Roman" w:cs="Times New Roman"/>
                <w:b/>
                <w:bCs/>
                <w:color w:val="0D0D0D" w:themeColor="text1" w:themeTint="F2"/>
                <w:lang w:val="sv-SE"/>
              </w:rPr>
              <w:t>​ (Polar)</w:t>
            </w:r>
          </w:p>
          <w:p w14:paraId="331738E4" w14:textId="47F66164" w:rsidR="009A7CF3" w:rsidRPr="007E5190" w:rsidRDefault="009A7CF3" w:rsidP="009A7CF3">
            <w:pPr>
              <w:spacing w:after="160" w:line="278" w:lineRule="auto"/>
              <w:jc w:val="center"/>
              <w:rPr>
                <w:rFonts w:ascii="Times New Roman" w:eastAsia="Calibri" w:hAnsi="Times New Roman" w:cs="Times New Roman"/>
                <w:b/>
                <w:bCs/>
                <w:color w:val="0D0D0D" w:themeColor="text1" w:themeTint="F2"/>
                <w:lang w:val="sv-SE"/>
              </w:rPr>
            </w:pPr>
            <w:r w:rsidRPr="007E5190">
              <w:rPr>
                <w:rFonts w:ascii="Times New Roman" w:eastAsia="Times New Roman" w:hAnsi="Times New Roman" w:cs="Times New Roman"/>
                <w:color w:val="0D0D0D" w:themeColor="text1" w:themeTint="F2"/>
                <w:kern w:val="0"/>
                <w:sz w:val="22"/>
                <w:szCs w:val="22"/>
                <w:lang w:val="sv-SE"/>
                <w14:ligatures w14:val="none"/>
              </w:rPr>
              <w:t>(kJ/mol)</w:t>
            </w:r>
          </w:p>
        </w:tc>
        <w:tc>
          <w:tcPr>
            <w:tcW w:w="1560" w:type="dxa"/>
            <w:tcBorders>
              <w:left w:val="nil"/>
              <w:right w:val="nil"/>
            </w:tcBorders>
            <w:vAlign w:val="center"/>
          </w:tcPr>
          <w:p w14:paraId="3CEFFE1E" w14:textId="1D3B0B8A" w:rsidR="0071060A" w:rsidRPr="007E5190" w:rsidRDefault="0071060A" w:rsidP="009A7CF3">
            <w:pPr>
              <w:jc w:val="center"/>
              <w:rPr>
                <w:rFonts w:ascii="Times New Roman" w:eastAsia="Calibri" w:hAnsi="Times New Roman" w:cs="Times New Roman"/>
                <w:b/>
                <w:bCs/>
                <w:color w:val="0D0D0D" w:themeColor="text1" w:themeTint="F2"/>
                <w:lang w:val="sv-SE"/>
              </w:rPr>
            </w:pPr>
            <w:r w:rsidRPr="007E5190">
              <w:rPr>
                <w:rFonts w:ascii="Times New Roman" w:eastAsia="Times New Roman" w:hAnsi="Times New Roman" w:cs="Times New Roman"/>
                <w:color w:val="0D0D0D" w:themeColor="text1" w:themeTint="F2"/>
                <w:kern w:val="0"/>
                <w:sz w:val="22"/>
                <w:szCs w:val="22"/>
                <w:lang w:val="sv-SE"/>
                <w14:ligatures w14:val="none"/>
              </w:rPr>
              <w:t>SASA energy</w:t>
            </w:r>
          </w:p>
          <w:p w14:paraId="75CD209C" w14:textId="77777777" w:rsidR="0071060A" w:rsidRPr="007E5190" w:rsidRDefault="0071060A" w:rsidP="009A7CF3">
            <w:pPr>
              <w:spacing w:after="160" w:line="278" w:lineRule="auto"/>
              <w:jc w:val="center"/>
              <w:rPr>
                <w:rFonts w:ascii="Times New Roman" w:hAnsi="Times New Roman" w:cs="Times New Roman"/>
                <w:b/>
                <w:bCs/>
                <w:color w:val="0D0D0D" w:themeColor="text1" w:themeTint="F2"/>
                <w:lang w:val="sv-SE"/>
              </w:rPr>
            </w:pPr>
            <m:oMath>
              <m:r>
                <m:rPr>
                  <m:sty m:val="bi"/>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non</m:t>
                  </m:r>
                  <m:r>
                    <m:rPr>
                      <m:sty m:val="bi"/>
                    </m:rPr>
                    <w:rPr>
                      <w:rFonts w:ascii="Cambria Math" w:hAnsi="Cambria Math" w:cs="Times New Roman"/>
                      <w:color w:val="0D0D0D" w:themeColor="text1" w:themeTint="F2"/>
                      <w:lang w:val="sv-SE"/>
                    </w:rPr>
                    <m:t>-</m:t>
                  </m:r>
                  <m:r>
                    <m:rPr>
                      <m:sty m:val="bi"/>
                    </m:rPr>
                    <w:rPr>
                      <w:rFonts w:ascii="Cambria Math" w:hAnsi="Cambria Math" w:cs="Times New Roman"/>
                      <w:color w:val="0D0D0D" w:themeColor="text1" w:themeTint="F2"/>
                    </w:rPr>
                    <m:t>polar</m:t>
                  </m:r>
                </m:sub>
              </m:sSub>
            </m:oMath>
            <w:r w:rsidRPr="007E5190">
              <w:rPr>
                <w:rFonts w:ascii="Times New Roman" w:hAnsi="Times New Roman" w:cs="Times New Roman"/>
                <w:b/>
                <w:bCs/>
                <w:color w:val="0D0D0D" w:themeColor="text1" w:themeTint="F2"/>
                <w:lang w:val="sv-SE"/>
              </w:rPr>
              <w:t>​ (SASA)</w:t>
            </w:r>
          </w:p>
          <w:p w14:paraId="1CEE4DE9" w14:textId="5968F33C" w:rsidR="009A7CF3" w:rsidRPr="007E5190" w:rsidRDefault="009A7CF3" w:rsidP="009A7CF3">
            <w:pPr>
              <w:spacing w:after="160" w:line="278" w:lineRule="auto"/>
              <w:jc w:val="center"/>
              <w:rPr>
                <w:rFonts w:ascii="Times New Roman" w:eastAsia="Calibri" w:hAnsi="Times New Roman" w:cs="Times New Roman"/>
                <w:b/>
                <w:bCs/>
                <w:color w:val="0D0D0D" w:themeColor="text1" w:themeTint="F2"/>
                <w:lang w:val="sv-SE"/>
              </w:rPr>
            </w:pPr>
            <w:r w:rsidRPr="007E5190">
              <w:rPr>
                <w:rFonts w:ascii="Times New Roman" w:eastAsia="Times New Roman" w:hAnsi="Times New Roman" w:cs="Times New Roman"/>
                <w:color w:val="0D0D0D" w:themeColor="text1" w:themeTint="F2"/>
                <w:kern w:val="0"/>
                <w:sz w:val="22"/>
                <w:szCs w:val="22"/>
                <w:lang w:val="sv-SE"/>
                <w14:ligatures w14:val="none"/>
              </w:rPr>
              <w:t>(kJ/mol)</w:t>
            </w:r>
          </w:p>
        </w:tc>
        <w:tc>
          <w:tcPr>
            <w:tcW w:w="1560" w:type="dxa"/>
            <w:tcBorders>
              <w:left w:val="nil"/>
            </w:tcBorders>
            <w:vAlign w:val="center"/>
          </w:tcPr>
          <w:p w14:paraId="1811CF51" w14:textId="5ECC3BE2" w:rsidR="0071060A" w:rsidRPr="007E5190" w:rsidRDefault="0071060A" w:rsidP="009A7CF3">
            <w:pPr>
              <w:jc w:val="center"/>
              <w:rPr>
                <w:rFonts w:ascii="Times New Roman" w:eastAsia="Calibri" w:hAnsi="Times New Roman" w:cs="Times New Roman"/>
                <w:b/>
                <w:bCs/>
                <w:color w:val="0D0D0D" w:themeColor="text1" w:themeTint="F2"/>
              </w:rPr>
            </w:pPr>
            <w:r w:rsidRPr="007E5190">
              <w:rPr>
                <w:rFonts w:ascii="Times New Roman" w:eastAsia="Times New Roman" w:hAnsi="Times New Roman" w:cs="Times New Roman"/>
                <w:color w:val="0D0D0D" w:themeColor="text1" w:themeTint="F2"/>
                <w:kern w:val="0"/>
                <w:sz w:val="22"/>
                <w:szCs w:val="22"/>
                <w14:ligatures w14:val="none"/>
              </w:rPr>
              <w:t>Binding energy</w:t>
            </w:r>
          </w:p>
          <w:p w14:paraId="545BF26F" w14:textId="77777777" w:rsidR="0071060A" w:rsidRPr="007E5190" w:rsidRDefault="0071060A" w:rsidP="009A7CF3">
            <w:pPr>
              <w:spacing w:after="160" w:line="278" w:lineRule="auto"/>
              <w:jc w:val="center"/>
              <w:rPr>
                <w:rFonts w:ascii="Times New Roman" w:hAnsi="Times New Roman" w:cs="Times New Roman"/>
                <w:b/>
                <w:bCs/>
                <w:color w:val="0D0D0D" w:themeColor="text1" w:themeTint="F2"/>
              </w:rPr>
            </w:pPr>
            <m:oMath>
              <m:r>
                <m:rPr>
                  <m:sty m:val="bi"/>
                </m:rPr>
                <w:rPr>
                  <w:rFonts w:ascii="Cambria Math" w:hAnsi="Cambria Math" w:cs="Times New Roman"/>
                  <w:color w:val="0D0D0D" w:themeColor="text1" w:themeTint="F2"/>
                </w:rPr>
                <m:t>Δ</m:t>
              </m:r>
              <m:sSub>
                <m:sSubPr>
                  <m:ctrlPr>
                    <w:rPr>
                      <w:rFonts w:ascii="Cambria Math" w:hAnsi="Cambria Math" w:cs="Times New Roman"/>
                      <w:b/>
                      <w:bCs/>
                      <w:i/>
                      <w:color w:val="0D0D0D" w:themeColor="text1" w:themeTint="F2"/>
                    </w:rPr>
                  </m:ctrlPr>
                </m:sSubPr>
                <m:e>
                  <m:r>
                    <m:rPr>
                      <m:sty m:val="bi"/>
                    </m:rPr>
                    <w:rPr>
                      <w:rFonts w:ascii="Cambria Math" w:hAnsi="Cambria Math" w:cs="Times New Roman"/>
                      <w:color w:val="0D0D0D" w:themeColor="text1" w:themeTint="F2"/>
                    </w:rPr>
                    <m:t>G</m:t>
                  </m:r>
                </m:e>
                <m:sub>
                  <m:r>
                    <m:rPr>
                      <m:sty m:val="bi"/>
                    </m:rPr>
                    <w:rPr>
                      <w:rFonts w:ascii="Cambria Math" w:hAnsi="Cambria Math" w:cs="Times New Roman"/>
                      <w:color w:val="0D0D0D" w:themeColor="text1" w:themeTint="F2"/>
                    </w:rPr>
                    <m:t>bind</m:t>
                  </m:r>
                </m:sub>
              </m:sSub>
              <m:r>
                <m:rPr>
                  <m:sty m:val="bi"/>
                </m:rPr>
                <w:rPr>
                  <w:rFonts w:ascii="Cambria Math" w:hAnsi="Cambria Math" w:cs="Times New Roman"/>
                  <w:color w:val="0D0D0D" w:themeColor="text1" w:themeTint="F2"/>
                </w:rPr>
                <m:t>​</m:t>
              </m:r>
            </m:oMath>
            <w:r w:rsidRPr="007E5190">
              <w:rPr>
                <w:rFonts w:ascii="Times New Roman" w:hAnsi="Times New Roman" w:cs="Times New Roman"/>
                <w:b/>
                <w:bCs/>
                <w:color w:val="0D0D0D" w:themeColor="text1" w:themeTint="F2"/>
              </w:rPr>
              <w:t xml:space="preserve"> (Total)</w:t>
            </w:r>
          </w:p>
          <w:p w14:paraId="7D2F9744" w14:textId="6670718D" w:rsidR="009A7CF3" w:rsidRPr="007E5190" w:rsidRDefault="009A7CF3" w:rsidP="009A7CF3">
            <w:pPr>
              <w:spacing w:after="160" w:line="278" w:lineRule="auto"/>
              <w:jc w:val="center"/>
              <w:rPr>
                <w:rFonts w:ascii="Times New Roman" w:eastAsia="Calibri" w:hAnsi="Times New Roman" w:cs="Times New Roman"/>
                <w:b/>
                <w:bCs/>
                <w:color w:val="0D0D0D" w:themeColor="text1" w:themeTint="F2"/>
              </w:rPr>
            </w:pPr>
            <w:r w:rsidRPr="007E5190">
              <w:rPr>
                <w:rFonts w:ascii="Times New Roman" w:eastAsia="Times New Roman" w:hAnsi="Times New Roman" w:cs="Times New Roman"/>
                <w:color w:val="0D0D0D" w:themeColor="text1" w:themeTint="F2"/>
                <w:kern w:val="0"/>
                <w:sz w:val="22"/>
                <w:szCs w:val="22"/>
                <w:lang w:val="sv-SE"/>
                <w14:ligatures w14:val="none"/>
              </w:rPr>
              <w:t>(kJ/mol)</w:t>
            </w:r>
          </w:p>
        </w:tc>
      </w:tr>
      <w:tr w:rsidR="005E631E" w:rsidRPr="007E5190" w14:paraId="0CA039ED" w14:textId="77777777" w:rsidTr="007E5190">
        <w:trPr>
          <w:trHeight w:val="1119"/>
        </w:trPr>
        <w:tc>
          <w:tcPr>
            <w:tcW w:w="1560" w:type="dxa"/>
            <w:tcBorders>
              <w:bottom w:val="nil"/>
              <w:right w:val="nil"/>
            </w:tcBorders>
            <w:vAlign w:val="center"/>
          </w:tcPr>
          <w:p w14:paraId="2D064914" w14:textId="18A55B33" w:rsidR="002C728D" w:rsidRPr="007E5190" w:rsidRDefault="002C728D" w:rsidP="009A7CF3">
            <w:pPr>
              <w:jc w:val="center"/>
              <w:rPr>
                <w:rFonts w:ascii="Times New Roman" w:hAnsi="Times New Roman" w:cs="Times New Roman"/>
                <w:b/>
                <w:bCs/>
                <w:color w:val="0D0D0D" w:themeColor="text1" w:themeTint="F2"/>
              </w:rPr>
            </w:pPr>
            <w:r w:rsidRPr="007E5190">
              <w:rPr>
                <w:rFonts w:ascii="Times New Roman" w:hAnsi="Times New Roman" w:cs="Times New Roman"/>
                <w:color w:val="0D0D0D" w:themeColor="text1" w:themeTint="F2"/>
              </w:rPr>
              <w:t>Oleanolic Acid (Control)</w:t>
            </w:r>
          </w:p>
        </w:tc>
        <w:tc>
          <w:tcPr>
            <w:tcW w:w="1560" w:type="dxa"/>
            <w:tcBorders>
              <w:left w:val="nil"/>
              <w:bottom w:val="nil"/>
              <w:right w:val="nil"/>
            </w:tcBorders>
            <w:vAlign w:val="center"/>
          </w:tcPr>
          <w:p w14:paraId="652E5303" w14:textId="1AA8717F" w:rsidR="002C728D" w:rsidRPr="007E5190" w:rsidRDefault="002C728D" w:rsidP="009A7CF3">
            <w:pPr>
              <w:jc w:val="center"/>
              <w:rPr>
                <w:rFonts w:ascii="Times New Roman" w:hAnsi="Times New Roman" w:cs="Times New Roman"/>
                <w:b/>
                <w:bCs/>
                <w:color w:val="0D0D0D" w:themeColor="text1" w:themeTint="F2"/>
              </w:rPr>
            </w:pPr>
            <w:r w:rsidRPr="007E5190">
              <w:rPr>
                <w:rFonts w:ascii="Times New Roman" w:hAnsi="Times New Roman" w:cs="Times New Roman"/>
                <w:color w:val="0D0D0D" w:themeColor="text1" w:themeTint="F2"/>
              </w:rPr>
              <w:t>-14.07</w:t>
            </w:r>
          </w:p>
        </w:tc>
        <w:tc>
          <w:tcPr>
            <w:tcW w:w="1560" w:type="dxa"/>
            <w:tcBorders>
              <w:left w:val="nil"/>
              <w:bottom w:val="nil"/>
              <w:right w:val="nil"/>
            </w:tcBorders>
            <w:vAlign w:val="center"/>
          </w:tcPr>
          <w:p w14:paraId="3D33969F" w14:textId="4B16D0EE" w:rsidR="002C728D" w:rsidRPr="007E5190" w:rsidRDefault="002C728D" w:rsidP="009A7CF3">
            <w:pPr>
              <w:jc w:val="center"/>
              <w:rPr>
                <w:rFonts w:ascii="Times New Roman" w:hAnsi="Times New Roman" w:cs="Times New Roman"/>
                <w:b/>
                <w:bCs/>
                <w:color w:val="0D0D0D" w:themeColor="text1" w:themeTint="F2"/>
              </w:rPr>
            </w:pPr>
            <w:r w:rsidRPr="007E5190">
              <w:rPr>
                <w:rFonts w:ascii="Times New Roman" w:hAnsi="Times New Roman" w:cs="Times New Roman"/>
                <w:color w:val="0D0D0D" w:themeColor="text1" w:themeTint="F2"/>
              </w:rPr>
              <w:t>-8.47</w:t>
            </w:r>
          </w:p>
        </w:tc>
        <w:tc>
          <w:tcPr>
            <w:tcW w:w="1560" w:type="dxa"/>
            <w:tcBorders>
              <w:left w:val="nil"/>
              <w:bottom w:val="nil"/>
              <w:right w:val="nil"/>
            </w:tcBorders>
            <w:vAlign w:val="center"/>
          </w:tcPr>
          <w:p w14:paraId="7F262740" w14:textId="455A125A" w:rsidR="002C728D" w:rsidRPr="007E5190" w:rsidRDefault="002C728D" w:rsidP="009A7CF3">
            <w:pPr>
              <w:jc w:val="center"/>
              <w:rPr>
                <w:rFonts w:ascii="Times New Roman" w:hAnsi="Times New Roman" w:cs="Times New Roman"/>
                <w:b/>
                <w:bCs/>
                <w:color w:val="0D0D0D" w:themeColor="text1" w:themeTint="F2"/>
              </w:rPr>
            </w:pPr>
            <w:r w:rsidRPr="007E5190">
              <w:rPr>
                <w:rFonts w:ascii="Times New Roman" w:hAnsi="Times New Roman" w:cs="Times New Roman"/>
                <w:color w:val="0D0D0D" w:themeColor="text1" w:themeTint="F2"/>
              </w:rPr>
              <w:t>13.65</w:t>
            </w:r>
          </w:p>
        </w:tc>
        <w:tc>
          <w:tcPr>
            <w:tcW w:w="1560" w:type="dxa"/>
            <w:tcBorders>
              <w:left w:val="nil"/>
              <w:bottom w:val="nil"/>
              <w:right w:val="nil"/>
            </w:tcBorders>
            <w:vAlign w:val="center"/>
          </w:tcPr>
          <w:p w14:paraId="75BCCC1D" w14:textId="2B7EE302" w:rsidR="002C728D" w:rsidRPr="007E5190" w:rsidRDefault="002C728D" w:rsidP="009A7CF3">
            <w:pPr>
              <w:jc w:val="center"/>
              <w:rPr>
                <w:rFonts w:ascii="Times New Roman" w:hAnsi="Times New Roman" w:cs="Times New Roman"/>
                <w:b/>
                <w:bCs/>
                <w:color w:val="0D0D0D" w:themeColor="text1" w:themeTint="F2"/>
              </w:rPr>
            </w:pPr>
            <w:r w:rsidRPr="007E5190">
              <w:rPr>
                <w:rFonts w:ascii="Times New Roman" w:hAnsi="Times New Roman" w:cs="Times New Roman"/>
                <w:color w:val="0D0D0D" w:themeColor="text1" w:themeTint="F2"/>
              </w:rPr>
              <w:t>-1.99</w:t>
            </w:r>
          </w:p>
        </w:tc>
        <w:tc>
          <w:tcPr>
            <w:tcW w:w="1560" w:type="dxa"/>
            <w:tcBorders>
              <w:left w:val="nil"/>
              <w:bottom w:val="nil"/>
            </w:tcBorders>
            <w:vAlign w:val="center"/>
          </w:tcPr>
          <w:p w14:paraId="66EF7D21" w14:textId="3DD7952D" w:rsidR="002C728D" w:rsidRPr="007E5190" w:rsidRDefault="002C728D" w:rsidP="009A7CF3">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-10.88</w:t>
            </w:r>
          </w:p>
        </w:tc>
      </w:tr>
      <w:tr w:rsidR="005E631E" w:rsidRPr="007E5190" w14:paraId="380B8237" w14:textId="77777777" w:rsidTr="007E5190">
        <w:trPr>
          <w:trHeight w:val="1119"/>
        </w:trPr>
        <w:tc>
          <w:tcPr>
            <w:tcW w:w="1560" w:type="dxa"/>
            <w:tcBorders>
              <w:top w:val="nil"/>
              <w:bottom w:val="nil"/>
              <w:right w:val="nil"/>
            </w:tcBorders>
            <w:vAlign w:val="center"/>
            <w:hideMark/>
          </w:tcPr>
          <w:p w14:paraId="498B90C3" w14:textId="77777777" w:rsidR="007C33A3" w:rsidRPr="007E5190" w:rsidRDefault="007C33A3" w:rsidP="009A7CF3">
            <w:pPr>
              <w:spacing w:after="160" w:line="278" w:lineRule="auto"/>
              <w:jc w:val="center"/>
              <w:rPr>
                <w:rFonts w:ascii="Times New Roman" w:hAnsi="Times New Roman" w:cs="Times New Roman"/>
                <w:color w:val="0D0D0D" w:themeColor="text1" w:themeTint="F2"/>
              </w:rPr>
            </w:pPr>
            <w:r w:rsidRPr="007E5190">
              <w:rPr>
                <w:rFonts w:ascii="Times New Roman" w:hAnsi="Times New Roman" w:cs="Times New Roman"/>
                <w:b/>
                <w:bCs/>
                <w:color w:val="0D0D0D" w:themeColor="text1" w:themeTint="F2"/>
              </w:rPr>
              <w:t>Hederagenin analogue</w:t>
            </w:r>
          </w:p>
        </w:tc>
        <w:tc>
          <w:tcPr>
            <w:tcW w:w="1560" w:type="dxa"/>
            <w:tcBorders>
              <w:top w:val="nil"/>
              <w:left w:val="nil"/>
              <w:bottom w:val="nil"/>
              <w:right w:val="nil"/>
            </w:tcBorders>
            <w:vAlign w:val="center"/>
            <w:hideMark/>
          </w:tcPr>
          <w:p w14:paraId="0A3D5C17" w14:textId="77777777" w:rsidR="007C33A3" w:rsidRPr="007E5190" w:rsidRDefault="007C33A3" w:rsidP="009A7CF3">
            <w:pPr>
              <w:spacing w:after="160" w:line="278" w:lineRule="auto"/>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-22.80</w:t>
            </w:r>
          </w:p>
        </w:tc>
        <w:tc>
          <w:tcPr>
            <w:tcW w:w="1560" w:type="dxa"/>
            <w:tcBorders>
              <w:top w:val="nil"/>
              <w:left w:val="nil"/>
              <w:bottom w:val="nil"/>
              <w:right w:val="nil"/>
            </w:tcBorders>
            <w:vAlign w:val="center"/>
            <w:hideMark/>
          </w:tcPr>
          <w:p w14:paraId="6F028A43" w14:textId="77777777" w:rsidR="007C33A3" w:rsidRPr="007E5190" w:rsidRDefault="007C33A3" w:rsidP="009A7CF3">
            <w:pPr>
              <w:spacing w:after="160" w:line="278" w:lineRule="auto"/>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-9.31</w:t>
            </w:r>
          </w:p>
        </w:tc>
        <w:tc>
          <w:tcPr>
            <w:tcW w:w="1560" w:type="dxa"/>
            <w:tcBorders>
              <w:top w:val="nil"/>
              <w:left w:val="nil"/>
              <w:bottom w:val="nil"/>
              <w:right w:val="nil"/>
            </w:tcBorders>
            <w:vAlign w:val="center"/>
            <w:hideMark/>
          </w:tcPr>
          <w:p w14:paraId="4F7F171D" w14:textId="77777777" w:rsidR="007C33A3" w:rsidRPr="007E5190" w:rsidRDefault="007C33A3" w:rsidP="009A7CF3">
            <w:pPr>
              <w:spacing w:after="160" w:line="278" w:lineRule="auto"/>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17.72</w:t>
            </w:r>
          </w:p>
        </w:tc>
        <w:tc>
          <w:tcPr>
            <w:tcW w:w="1560" w:type="dxa"/>
            <w:tcBorders>
              <w:top w:val="nil"/>
              <w:left w:val="nil"/>
              <w:bottom w:val="nil"/>
              <w:right w:val="nil"/>
            </w:tcBorders>
            <w:vAlign w:val="center"/>
            <w:hideMark/>
          </w:tcPr>
          <w:p w14:paraId="59A6873B" w14:textId="77777777" w:rsidR="007C33A3" w:rsidRPr="007E5190" w:rsidRDefault="007C33A3" w:rsidP="009A7CF3">
            <w:pPr>
              <w:spacing w:after="160" w:line="278" w:lineRule="auto"/>
              <w:jc w:val="center"/>
              <w:rPr>
                <w:rFonts w:ascii="Times New Roman" w:hAnsi="Times New Roman" w:cs="Times New Roman"/>
                <w:b/>
                <w:bCs/>
                <w:color w:val="0D0D0D" w:themeColor="text1" w:themeTint="F2"/>
              </w:rPr>
            </w:pPr>
            <w:r w:rsidRPr="007E5190">
              <w:rPr>
                <w:rFonts w:ascii="Times New Roman" w:hAnsi="Times New Roman" w:cs="Times New Roman"/>
                <w:b/>
                <w:bCs/>
                <w:color w:val="0D0D0D" w:themeColor="text1" w:themeTint="F2"/>
              </w:rPr>
              <w:t>-2.70</w:t>
            </w:r>
          </w:p>
        </w:tc>
        <w:tc>
          <w:tcPr>
            <w:tcW w:w="1560" w:type="dxa"/>
            <w:tcBorders>
              <w:top w:val="nil"/>
              <w:left w:val="nil"/>
              <w:bottom w:val="nil"/>
            </w:tcBorders>
            <w:vAlign w:val="center"/>
            <w:hideMark/>
          </w:tcPr>
          <w:p w14:paraId="649EB826" w14:textId="45B86146" w:rsidR="007C33A3" w:rsidRPr="007E5190" w:rsidRDefault="007C33A3" w:rsidP="009A7CF3">
            <w:pPr>
              <w:spacing w:after="160" w:line="278" w:lineRule="auto"/>
              <w:jc w:val="center"/>
              <w:rPr>
                <w:rFonts w:ascii="Times New Roman" w:hAnsi="Times New Roman" w:cs="Times New Roman"/>
                <w:color w:val="0D0D0D" w:themeColor="text1" w:themeTint="F2"/>
              </w:rPr>
            </w:pPr>
            <w:r w:rsidRPr="007E5190">
              <w:rPr>
                <w:rFonts w:ascii="Times New Roman" w:hAnsi="Times New Roman" w:cs="Times New Roman"/>
                <w:b/>
                <w:bCs/>
                <w:color w:val="0D0D0D" w:themeColor="text1" w:themeTint="F2"/>
              </w:rPr>
              <w:t>-17.0</w:t>
            </w:r>
            <w:r w:rsidR="00F02203">
              <w:rPr>
                <w:rFonts w:ascii="Times New Roman" w:hAnsi="Times New Roman" w:cs="Times New Roman"/>
                <w:b/>
                <w:bCs/>
                <w:color w:val="0D0D0D" w:themeColor="text1" w:themeTint="F2"/>
              </w:rPr>
              <w:t>9</w:t>
            </w:r>
          </w:p>
        </w:tc>
      </w:tr>
      <w:tr w:rsidR="005E631E" w:rsidRPr="007E5190" w14:paraId="5659CC25" w14:textId="77777777" w:rsidTr="007E5190">
        <w:trPr>
          <w:trHeight w:val="1119"/>
        </w:trPr>
        <w:tc>
          <w:tcPr>
            <w:tcW w:w="1560" w:type="dxa"/>
            <w:tcBorders>
              <w:top w:val="nil"/>
              <w:bottom w:val="nil"/>
              <w:right w:val="nil"/>
            </w:tcBorders>
            <w:vAlign w:val="center"/>
          </w:tcPr>
          <w:p w14:paraId="0A597B74" w14:textId="3E809192" w:rsidR="002C728D" w:rsidRPr="007E5190" w:rsidRDefault="002C728D" w:rsidP="009A7CF3">
            <w:pPr>
              <w:jc w:val="center"/>
              <w:rPr>
                <w:rFonts w:ascii="Times New Roman" w:hAnsi="Times New Roman" w:cs="Times New Roman"/>
                <w:b/>
                <w:bCs/>
                <w:color w:val="0D0D0D" w:themeColor="text1" w:themeTint="F2"/>
              </w:rPr>
            </w:pPr>
            <w:r w:rsidRPr="007E5190">
              <w:rPr>
                <w:rFonts w:ascii="Times New Roman" w:hAnsi="Times New Roman" w:cs="Times New Roman"/>
                <w:color w:val="0D0D0D" w:themeColor="text1" w:themeTint="F2"/>
              </w:rPr>
              <w:t>Lupeol analogue</w:t>
            </w:r>
          </w:p>
        </w:tc>
        <w:tc>
          <w:tcPr>
            <w:tcW w:w="1560" w:type="dxa"/>
            <w:tcBorders>
              <w:top w:val="nil"/>
              <w:left w:val="nil"/>
              <w:bottom w:val="nil"/>
              <w:right w:val="nil"/>
            </w:tcBorders>
            <w:vAlign w:val="center"/>
          </w:tcPr>
          <w:p w14:paraId="25E1C4D8" w14:textId="655D6AF3" w:rsidR="002C728D" w:rsidRPr="007E5190" w:rsidRDefault="002C728D" w:rsidP="009A7CF3">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-11.97</w:t>
            </w:r>
          </w:p>
        </w:tc>
        <w:tc>
          <w:tcPr>
            <w:tcW w:w="1560" w:type="dxa"/>
            <w:tcBorders>
              <w:top w:val="nil"/>
              <w:left w:val="nil"/>
              <w:bottom w:val="nil"/>
              <w:right w:val="nil"/>
            </w:tcBorders>
            <w:vAlign w:val="center"/>
          </w:tcPr>
          <w:p w14:paraId="614952AE" w14:textId="4BDCCF1B" w:rsidR="002C728D" w:rsidRPr="007E5190" w:rsidRDefault="002C728D" w:rsidP="009A7CF3">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-5.74</w:t>
            </w:r>
          </w:p>
        </w:tc>
        <w:tc>
          <w:tcPr>
            <w:tcW w:w="1560" w:type="dxa"/>
            <w:tcBorders>
              <w:top w:val="nil"/>
              <w:left w:val="nil"/>
              <w:bottom w:val="nil"/>
              <w:right w:val="nil"/>
            </w:tcBorders>
            <w:vAlign w:val="center"/>
          </w:tcPr>
          <w:p w14:paraId="54F5D099" w14:textId="71022F0C" w:rsidR="002C728D" w:rsidRPr="007E5190" w:rsidRDefault="002C728D" w:rsidP="009A7CF3">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10.37</w:t>
            </w:r>
          </w:p>
        </w:tc>
        <w:tc>
          <w:tcPr>
            <w:tcW w:w="1560" w:type="dxa"/>
            <w:tcBorders>
              <w:top w:val="nil"/>
              <w:left w:val="nil"/>
              <w:bottom w:val="nil"/>
              <w:right w:val="nil"/>
            </w:tcBorders>
            <w:vAlign w:val="center"/>
          </w:tcPr>
          <w:p w14:paraId="7550734B" w14:textId="7BD3E34E" w:rsidR="002C728D" w:rsidRPr="007E5190" w:rsidRDefault="002C728D" w:rsidP="009A7CF3">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-1.99</w:t>
            </w:r>
          </w:p>
        </w:tc>
        <w:tc>
          <w:tcPr>
            <w:tcW w:w="1560" w:type="dxa"/>
            <w:tcBorders>
              <w:top w:val="nil"/>
              <w:left w:val="nil"/>
              <w:bottom w:val="nil"/>
            </w:tcBorders>
            <w:vAlign w:val="center"/>
          </w:tcPr>
          <w:p w14:paraId="2A63EBCC" w14:textId="23C0850E" w:rsidR="002C728D" w:rsidRPr="007E5190" w:rsidRDefault="002C728D" w:rsidP="009A7CF3">
            <w:pPr>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-9.3</w:t>
            </w:r>
            <w:r w:rsidR="00F02203">
              <w:rPr>
                <w:rFonts w:ascii="Times New Roman" w:hAnsi="Times New Roman" w:cs="Times New Roman"/>
                <w:color w:val="0D0D0D" w:themeColor="text1" w:themeTint="F2"/>
              </w:rPr>
              <w:t>3</w:t>
            </w:r>
          </w:p>
        </w:tc>
      </w:tr>
      <w:tr w:rsidR="00243A98" w:rsidRPr="007E5190" w14:paraId="7E7DC570" w14:textId="77777777" w:rsidTr="007E5190">
        <w:trPr>
          <w:trHeight w:val="1119"/>
        </w:trPr>
        <w:tc>
          <w:tcPr>
            <w:tcW w:w="1560" w:type="dxa"/>
            <w:tcBorders>
              <w:top w:val="nil"/>
              <w:right w:val="nil"/>
            </w:tcBorders>
            <w:vAlign w:val="center"/>
            <w:hideMark/>
          </w:tcPr>
          <w:p w14:paraId="3FFF34E9" w14:textId="77777777" w:rsidR="007C33A3" w:rsidRPr="007E5190" w:rsidRDefault="007C33A3" w:rsidP="009A7CF3">
            <w:pPr>
              <w:spacing w:after="160" w:line="278" w:lineRule="auto"/>
              <w:jc w:val="center"/>
              <w:rPr>
                <w:rFonts w:ascii="Times New Roman" w:hAnsi="Times New Roman" w:cs="Times New Roman"/>
                <w:color w:val="0D0D0D" w:themeColor="text1" w:themeTint="F2"/>
              </w:rPr>
            </w:pP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w:t>
            </w:r>
          </w:p>
        </w:tc>
        <w:tc>
          <w:tcPr>
            <w:tcW w:w="1560" w:type="dxa"/>
            <w:tcBorders>
              <w:top w:val="nil"/>
              <w:left w:val="nil"/>
              <w:right w:val="nil"/>
            </w:tcBorders>
            <w:vAlign w:val="center"/>
            <w:hideMark/>
          </w:tcPr>
          <w:p w14:paraId="3C9DAD94" w14:textId="77777777" w:rsidR="007C33A3" w:rsidRPr="007E5190" w:rsidRDefault="007C33A3" w:rsidP="009A7CF3">
            <w:pPr>
              <w:spacing w:after="160" w:line="278" w:lineRule="auto"/>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-12.33</w:t>
            </w:r>
          </w:p>
        </w:tc>
        <w:tc>
          <w:tcPr>
            <w:tcW w:w="1560" w:type="dxa"/>
            <w:tcBorders>
              <w:top w:val="nil"/>
              <w:left w:val="nil"/>
              <w:right w:val="nil"/>
            </w:tcBorders>
            <w:vAlign w:val="center"/>
            <w:hideMark/>
          </w:tcPr>
          <w:p w14:paraId="0818E5EE" w14:textId="77777777" w:rsidR="007C33A3" w:rsidRPr="007E5190" w:rsidRDefault="007C33A3" w:rsidP="009A7CF3">
            <w:pPr>
              <w:spacing w:after="160" w:line="278" w:lineRule="auto"/>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-7.81</w:t>
            </w:r>
          </w:p>
        </w:tc>
        <w:tc>
          <w:tcPr>
            <w:tcW w:w="1560" w:type="dxa"/>
            <w:tcBorders>
              <w:top w:val="nil"/>
              <w:left w:val="nil"/>
              <w:right w:val="nil"/>
            </w:tcBorders>
            <w:vAlign w:val="center"/>
            <w:hideMark/>
          </w:tcPr>
          <w:p w14:paraId="3E3982CC" w14:textId="77777777" w:rsidR="007C33A3" w:rsidRPr="007E5190" w:rsidRDefault="007C33A3" w:rsidP="009A7CF3">
            <w:pPr>
              <w:spacing w:after="160" w:line="278" w:lineRule="auto"/>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12.17</w:t>
            </w:r>
          </w:p>
        </w:tc>
        <w:tc>
          <w:tcPr>
            <w:tcW w:w="1560" w:type="dxa"/>
            <w:tcBorders>
              <w:top w:val="nil"/>
              <w:left w:val="nil"/>
              <w:right w:val="nil"/>
            </w:tcBorders>
            <w:vAlign w:val="center"/>
            <w:hideMark/>
          </w:tcPr>
          <w:p w14:paraId="3F5BB3CF" w14:textId="77777777" w:rsidR="007C33A3" w:rsidRPr="007E5190" w:rsidRDefault="007C33A3" w:rsidP="009A7CF3">
            <w:pPr>
              <w:spacing w:after="160" w:line="278" w:lineRule="auto"/>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-1.68</w:t>
            </w:r>
          </w:p>
        </w:tc>
        <w:tc>
          <w:tcPr>
            <w:tcW w:w="1560" w:type="dxa"/>
            <w:tcBorders>
              <w:top w:val="nil"/>
              <w:left w:val="nil"/>
            </w:tcBorders>
            <w:vAlign w:val="center"/>
            <w:hideMark/>
          </w:tcPr>
          <w:p w14:paraId="3C0DF506" w14:textId="77777777" w:rsidR="007C33A3" w:rsidRPr="007E5190" w:rsidRDefault="007C33A3" w:rsidP="009A7CF3">
            <w:pPr>
              <w:spacing w:after="160" w:line="278" w:lineRule="auto"/>
              <w:jc w:val="cente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-9.65</w:t>
            </w:r>
          </w:p>
        </w:tc>
      </w:tr>
    </w:tbl>
    <w:p w14:paraId="785E8C78" w14:textId="62410541" w:rsidR="00794D96" w:rsidRPr="007E5190" w:rsidRDefault="00794D96" w:rsidP="00DD06FA">
      <w:pPr>
        <w:pStyle w:val="Heading2"/>
        <w:rPr>
          <w:rFonts w:cs="Times New Roman"/>
        </w:rPr>
      </w:pPr>
      <w:bookmarkStart w:id="16" w:name="_Ref213159300"/>
      <w:r w:rsidRPr="007E5190">
        <w:rPr>
          <w:rFonts w:cs="Times New Roman"/>
        </w:rPr>
        <w:t>Density Functional Theory (DFT) Analysis</w:t>
      </w:r>
      <w:bookmarkEnd w:id="16"/>
    </w:p>
    <w:p w14:paraId="5E3FD8EB" w14:textId="1655E60F" w:rsidR="00794D96" w:rsidRPr="007E5190" w:rsidRDefault="00A50DB7"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Density Functional Theory (DFT) calculations were performed to analyze the chemical reactivity of the compounds. This was done to provide an electronic-level understanding of why the Hederagenin analogue binds so effectively.</w:t>
      </w:r>
      <w:r w:rsidR="00794D9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This analysis is centered on the Frontier Molecular Orbitals (FMOs), namely the HOMO and LUMO </w:t>
      </w:r>
      <w:r w:rsidR="00843580" w:rsidRPr="007E5190">
        <w:rPr>
          <w:rFonts w:ascii="Times New Roman" w:hAnsi="Times New Roman" w:cs="Times New Roman"/>
          <w:color w:val="0D0D0D" w:themeColor="text1" w:themeTint="F2"/>
        </w:rPr>
        <w:t>(</w:t>
      </w:r>
      <w:r w:rsidR="00843580" w:rsidRPr="007E5190">
        <w:rPr>
          <w:rFonts w:ascii="Times New Roman" w:hAnsi="Times New Roman" w:cs="Times New Roman"/>
          <w:color w:val="4472C4" w:themeColor="accent1"/>
        </w:rPr>
        <w:fldChar w:fldCharType="begin"/>
      </w:r>
      <w:r w:rsidR="00843580" w:rsidRPr="007E5190">
        <w:rPr>
          <w:rFonts w:ascii="Times New Roman" w:hAnsi="Times New Roman" w:cs="Times New Roman"/>
          <w:color w:val="4472C4" w:themeColor="accent1"/>
        </w:rPr>
        <w:instrText xml:space="preserve"> REF _Ref213105857 \h </w:instrText>
      </w:r>
      <w:r w:rsidR="00F25C91" w:rsidRPr="007E5190">
        <w:rPr>
          <w:rFonts w:ascii="Times New Roman" w:hAnsi="Times New Roman" w:cs="Times New Roman"/>
          <w:color w:val="4472C4" w:themeColor="accent1"/>
        </w:rPr>
        <w:instrText xml:space="preserve"> \* MERGEFORMAT </w:instrText>
      </w:r>
      <w:r w:rsidR="00843580" w:rsidRPr="007E5190">
        <w:rPr>
          <w:rFonts w:ascii="Times New Roman" w:hAnsi="Times New Roman" w:cs="Times New Roman"/>
          <w:color w:val="4472C4" w:themeColor="accent1"/>
        </w:rPr>
      </w:r>
      <w:r w:rsidR="00843580" w:rsidRPr="007E5190">
        <w:rPr>
          <w:rFonts w:ascii="Times New Roman" w:hAnsi="Times New Roman" w:cs="Times New Roman"/>
          <w:color w:val="4472C4" w:themeColor="accent1"/>
        </w:rPr>
        <w:fldChar w:fldCharType="separate"/>
      </w:r>
      <w:r w:rsidR="00843580" w:rsidRPr="007E5190">
        <w:rPr>
          <w:rFonts w:ascii="Times New Roman" w:hAnsi="Times New Roman" w:cs="Times New Roman"/>
          <w:color w:val="4472C4" w:themeColor="accent1"/>
          <w:szCs w:val="20"/>
        </w:rPr>
        <w:t xml:space="preserve">Figure </w:t>
      </w:r>
      <w:r w:rsidR="00843580" w:rsidRPr="007E5190">
        <w:rPr>
          <w:rFonts w:ascii="Times New Roman" w:hAnsi="Times New Roman" w:cs="Times New Roman"/>
          <w:noProof/>
          <w:color w:val="4472C4" w:themeColor="accent1"/>
          <w:szCs w:val="20"/>
        </w:rPr>
        <w:t>1</w:t>
      </w:r>
      <w:r w:rsidR="00BD4226" w:rsidRPr="007E5190">
        <w:rPr>
          <w:rFonts w:ascii="Times New Roman" w:hAnsi="Times New Roman" w:cs="Times New Roman"/>
          <w:noProof/>
          <w:color w:val="4472C4" w:themeColor="accent1"/>
          <w:szCs w:val="20"/>
        </w:rPr>
        <w:t>4</w:t>
      </w:r>
      <w:r w:rsidR="00843580" w:rsidRPr="007E5190">
        <w:rPr>
          <w:rFonts w:ascii="Times New Roman" w:hAnsi="Times New Roman" w:cs="Times New Roman"/>
          <w:color w:val="4472C4" w:themeColor="accent1"/>
        </w:rPr>
        <w:fldChar w:fldCharType="end"/>
      </w:r>
      <w:r w:rsidR="00843580" w:rsidRPr="007E5190">
        <w:rPr>
          <w:rFonts w:ascii="Times New Roman" w:hAnsi="Times New Roman" w:cs="Times New Roman"/>
          <w:color w:val="0D0D0D" w:themeColor="text1" w:themeTint="F2"/>
        </w:rPr>
        <w:t>)</w:t>
      </w:r>
      <w:r w:rsidRPr="007E5190">
        <w:rPr>
          <w:rFonts w:ascii="Times New Roman" w:hAnsi="Times New Roman" w:cs="Times New Roman"/>
          <w:color w:val="0D0D0D" w:themeColor="text1" w:themeTint="F2"/>
        </w:rPr>
        <w:t>.</w:t>
      </w:r>
      <w:r w:rsidR="00794D9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A critical descriptor of molecular stability is the energy gap </w:t>
      </w:r>
      <w:r w:rsidR="00794D96" w:rsidRPr="007E5190">
        <w:rPr>
          <w:rFonts w:ascii="Times New Roman" w:hAnsi="Times New Roman" w:cs="Times New Roman"/>
          <w:color w:val="0D0D0D" w:themeColor="text1" w:themeTint="F2"/>
        </w:rPr>
        <w:t>(</w:t>
      </w:r>
      <m:oMath>
        <m:r>
          <m:rPr>
            <m:sty m:val="p"/>
          </m:rPr>
          <w:rPr>
            <w:rFonts w:ascii="Cambria Math" w:hAnsi="Cambria Math" w:cs="Times New Roman"/>
            <w:color w:val="0D0D0D" w:themeColor="text1" w:themeTint="F2"/>
          </w:rPr>
          <m:t>Δ</m:t>
        </m:r>
        <m:r>
          <w:rPr>
            <w:rFonts w:ascii="Cambria Math" w:hAnsi="Cambria Math" w:cs="Times New Roman"/>
            <w:color w:val="0D0D0D" w:themeColor="text1" w:themeTint="F2"/>
          </w:rPr>
          <m:t>E=</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E</m:t>
            </m:r>
          </m:e>
          <m:sub>
            <m:r>
              <w:rPr>
                <w:rFonts w:ascii="Cambria Math" w:hAnsi="Cambria Math" w:cs="Times New Roman"/>
                <w:color w:val="0D0D0D" w:themeColor="text1" w:themeTint="F2"/>
              </w:rPr>
              <m:t>LUMO</m:t>
            </m:r>
          </m:sub>
        </m:sSub>
        <m:r>
          <w:rPr>
            <w:rFonts w:ascii="Cambria Math" w:hAnsi="Cambria Math" w:cs="Times New Roman"/>
            <w:color w:val="0D0D0D" w:themeColor="text1" w:themeTint="F2"/>
          </w:rPr>
          <m: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E</m:t>
            </m:r>
          </m:e>
          <m:sub>
            <m:r>
              <w:rPr>
                <w:rFonts w:ascii="Cambria Math" w:hAnsi="Cambria Math" w:cs="Times New Roman"/>
                <w:color w:val="0D0D0D" w:themeColor="text1" w:themeTint="F2"/>
              </w:rPr>
              <m:t>HOMO</m:t>
            </m:r>
          </m:sub>
        </m:sSub>
      </m:oMath>
      <w:r w:rsidR="00794D96"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between these orbitals, where a smaller gap generally implies higher chemical reactivity.</w:t>
      </w:r>
    </w:p>
    <w:p w14:paraId="4B71577A" w14:textId="6D506975" w:rsidR="002E56DD" w:rsidRPr="007E5190" w:rsidRDefault="002E56DD" w:rsidP="002E56DD">
      <w:pPr>
        <w:pStyle w:val="Caption"/>
        <w:keepNext/>
        <w:rPr>
          <w:rFonts w:ascii="Times New Roman" w:hAnsi="Times New Roman" w:cs="Times New Roman"/>
          <w:color w:val="0D0D0D" w:themeColor="text1" w:themeTint="F2"/>
          <w:sz w:val="24"/>
          <w:szCs w:val="24"/>
        </w:rPr>
      </w:pPr>
      <w:bookmarkStart w:id="17" w:name="_Ref213082403"/>
      <w:bookmarkStart w:id="18" w:name="_Ref213083313"/>
      <w:r w:rsidRPr="007E5190">
        <w:rPr>
          <w:rFonts w:ascii="Times New Roman" w:hAnsi="Times New Roman" w:cs="Times New Roman"/>
          <w:color w:val="0D0D0D" w:themeColor="text1" w:themeTint="F2"/>
          <w:sz w:val="24"/>
          <w:szCs w:val="24"/>
        </w:rPr>
        <w:t xml:space="preserve">Table </w:t>
      </w:r>
      <w:r w:rsidRPr="007E5190">
        <w:rPr>
          <w:rFonts w:ascii="Times New Roman" w:hAnsi="Times New Roman" w:cs="Times New Roman"/>
          <w:color w:val="0D0D0D" w:themeColor="text1" w:themeTint="F2"/>
          <w:sz w:val="24"/>
          <w:szCs w:val="24"/>
        </w:rPr>
        <w:fldChar w:fldCharType="begin"/>
      </w:r>
      <w:r w:rsidRPr="007E5190">
        <w:rPr>
          <w:rFonts w:ascii="Times New Roman" w:hAnsi="Times New Roman" w:cs="Times New Roman"/>
          <w:color w:val="0D0D0D" w:themeColor="text1" w:themeTint="F2"/>
          <w:sz w:val="24"/>
          <w:szCs w:val="24"/>
        </w:rPr>
        <w:instrText xml:space="preserve"> SEQ Table \* ARABIC </w:instrText>
      </w:r>
      <w:r w:rsidRPr="007E5190">
        <w:rPr>
          <w:rFonts w:ascii="Times New Roman" w:hAnsi="Times New Roman" w:cs="Times New Roman"/>
          <w:color w:val="0D0D0D" w:themeColor="text1" w:themeTint="F2"/>
          <w:sz w:val="24"/>
          <w:szCs w:val="24"/>
        </w:rPr>
        <w:fldChar w:fldCharType="separate"/>
      </w:r>
      <w:r w:rsidRPr="007E5190">
        <w:rPr>
          <w:rFonts w:ascii="Times New Roman" w:hAnsi="Times New Roman" w:cs="Times New Roman"/>
          <w:noProof/>
          <w:color w:val="0D0D0D" w:themeColor="text1" w:themeTint="F2"/>
          <w:sz w:val="24"/>
          <w:szCs w:val="24"/>
        </w:rPr>
        <w:t>9</w:t>
      </w:r>
      <w:r w:rsidRPr="007E5190">
        <w:rPr>
          <w:rFonts w:ascii="Times New Roman" w:hAnsi="Times New Roman" w:cs="Times New Roman"/>
          <w:color w:val="0D0D0D" w:themeColor="text1" w:themeTint="F2"/>
          <w:sz w:val="24"/>
          <w:szCs w:val="24"/>
        </w:rPr>
        <w:fldChar w:fldCharType="end"/>
      </w:r>
      <w:bookmarkEnd w:id="17"/>
      <w:r w:rsidRPr="007E5190">
        <w:rPr>
          <w:rFonts w:ascii="Times New Roman" w:hAnsi="Times New Roman" w:cs="Times New Roman"/>
          <w:color w:val="0D0D0D" w:themeColor="text1" w:themeTint="F2"/>
          <w:sz w:val="24"/>
          <w:szCs w:val="24"/>
        </w:rPr>
        <w:t>. DFT-Calculated Electronic Properties (in eV) for the four lead compounds</w:t>
      </w:r>
      <w:bookmarkEnd w:id="18"/>
    </w:p>
    <w:tbl>
      <w:tblPr>
        <w:tblStyle w:val="TableGrid"/>
        <w:tblW w:w="5000" w:type="pct"/>
        <w:jc w:val="center"/>
        <w:tblLayout w:type="fixed"/>
        <w:tblLook w:val="04A0" w:firstRow="1" w:lastRow="0" w:firstColumn="1" w:lastColumn="0" w:noHBand="0" w:noVBand="1"/>
      </w:tblPr>
      <w:tblGrid>
        <w:gridCol w:w="1872"/>
        <w:gridCol w:w="1872"/>
        <w:gridCol w:w="1872"/>
        <w:gridCol w:w="1872"/>
        <w:gridCol w:w="1872"/>
      </w:tblGrid>
      <w:tr w:rsidR="005E631E" w:rsidRPr="007E5190" w14:paraId="4A1F325B" w14:textId="77777777" w:rsidTr="00C62EC3">
        <w:trPr>
          <w:trHeight w:val="1008"/>
          <w:tblHeader/>
          <w:jc w:val="center"/>
        </w:trPr>
        <w:tc>
          <w:tcPr>
            <w:tcW w:w="1000" w:type="pct"/>
            <w:tcBorders>
              <w:left w:val="nil"/>
              <w:bottom w:val="single" w:sz="4" w:space="0" w:color="auto"/>
              <w:right w:val="nil"/>
            </w:tcBorders>
            <w:noWrap/>
            <w:vAlign w:val="center"/>
            <w:hideMark/>
          </w:tcPr>
          <w:p w14:paraId="0CDB879B" w14:textId="77777777" w:rsidR="002E56DD" w:rsidRPr="007E5190" w:rsidRDefault="002E56DD" w:rsidP="002E56DD">
            <w:pPr>
              <w:jc w:val="center"/>
              <w:rPr>
                <w:rFonts w:ascii="Times New Roman" w:eastAsia="Times New Roman" w:hAnsi="Times New Roman" w:cs="Times New Roman"/>
                <w:b/>
                <w:bCs/>
                <w:color w:val="0D0D0D" w:themeColor="text1" w:themeTint="F2"/>
                <w:kern w:val="0"/>
                <w:sz w:val="22"/>
                <w:szCs w:val="22"/>
                <w14:ligatures w14:val="none"/>
              </w:rPr>
            </w:pPr>
            <w:r w:rsidRPr="007E5190">
              <w:rPr>
                <w:rFonts w:ascii="Times New Roman" w:eastAsia="Times New Roman" w:hAnsi="Times New Roman" w:cs="Times New Roman"/>
                <w:b/>
                <w:bCs/>
                <w:color w:val="0D0D0D" w:themeColor="text1" w:themeTint="F2"/>
                <w:kern w:val="0"/>
                <w:sz w:val="22"/>
                <w:szCs w:val="22"/>
                <w14:ligatures w14:val="none"/>
              </w:rPr>
              <w:t>Molecular Parameters</w:t>
            </w:r>
          </w:p>
        </w:tc>
        <w:tc>
          <w:tcPr>
            <w:tcW w:w="1000" w:type="pct"/>
            <w:tcBorders>
              <w:left w:val="nil"/>
              <w:bottom w:val="single" w:sz="4" w:space="0" w:color="auto"/>
              <w:right w:val="nil"/>
            </w:tcBorders>
            <w:noWrap/>
            <w:vAlign w:val="center"/>
            <w:hideMark/>
          </w:tcPr>
          <w:p w14:paraId="5CEE0AC4" w14:textId="416C43E2" w:rsidR="002E56DD" w:rsidRPr="007E5190" w:rsidRDefault="002E56DD" w:rsidP="002E56DD">
            <w:pPr>
              <w:jc w:val="center"/>
              <w:rPr>
                <w:rFonts w:ascii="Times New Roman" w:eastAsia="Times New Roman" w:hAnsi="Times New Roman" w:cs="Times New Roman"/>
                <w:b/>
                <w:bCs/>
                <w:color w:val="0D0D0D" w:themeColor="text1" w:themeTint="F2"/>
                <w:kern w:val="0"/>
                <w:sz w:val="22"/>
                <w:szCs w:val="22"/>
                <w14:ligatures w14:val="none"/>
              </w:rPr>
            </w:pPr>
            <w:r w:rsidRPr="007E5190">
              <w:rPr>
                <w:rFonts w:ascii="Times New Roman" w:eastAsia="Times New Roman" w:hAnsi="Times New Roman" w:cs="Times New Roman"/>
                <w:b/>
                <w:bCs/>
                <w:color w:val="0D0D0D" w:themeColor="text1" w:themeTint="F2"/>
                <w:kern w:val="0"/>
                <w:sz w:val="22"/>
                <w:szCs w:val="22"/>
                <w14:ligatures w14:val="none"/>
              </w:rPr>
              <w:t>Control</w:t>
            </w:r>
          </w:p>
        </w:tc>
        <w:tc>
          <w:tcPr>
            <w:tcW w:w="1000" w:type="pct"/>
            <w:tcBorders>
              <w:left w:val="nil"/>
              <w:bottom w:val="single" w:sz="4" w:space="0" w:color="auto"/>
              <w:right w:val="nil"/>
            </w:tcBorders>
            <w:noWrap/>
            <w:vAlign w:val="center"/>
            <w:hideMark/>
          </w:tcPr>
          <w:p w14:paraId="331FE9A7" w14:textId="3A7F428B" w:rsidR="002E56DD" w:rsidRPr="007E5190" w:rsidRDefault="002E56DD" w:rsidP="002E56DD">
            <w:pPr>
              <w:jc w:val="center"/>
              <w:rPr>
                <w:rFonts w:ascii="Times New Roman" w:eastAsia="Times New Roman" w:hAnsi="Times New Roman" w:cs="Times New Roman"/>
                <w:b/>
                <w:bCs/>
                <w:color w:val="0D0D0D" w:themeColor="text1" w:themeTint="F2"/>
                <w:kern w:val="0"/>
                <w:sz w:val="22"/>
                <w:szCs w:val="22"/>
                <w14:ligatures w14:val="none"/>
              </w:rPr>
            </w:pPr>
            <w:proofErr w:type="spellStart"/>
            <w:r w:rsidRPr="007E5190">
              <w:rPr>
                <w:rFonts w:ascii="Times New Roman" w:eastAsia="Times New Roman" w:hAnsi="Times New Roman" w:cs="Times New Roman"/>
                <w:b/>
                <w:bCs/>
                <w:color w:val="0D0D0D" w:themeColor="text1" w:themeTint="F2"/>
                <w:kern w:val="0"/>
                <w:sz w:val="22"/>
                <w:szCs w:val="22"/>
                <w14:ligatures w14:val="none"/>
              </w:rPr>
              <w:t>Hedragenin</w:t>
            </w:r>
            <w:proofErr w:type="spellEnd"/>
            <w:r w:rsidRPr="007E5190">
              <w:rPr>
                <w:rFonts w:ascii="Times New Roman" w:eastAsia="Times New Roman" w:hAnsi="Times New Roman" w:cs="Times New Roman"/>
                <w:b/>
                <w:bCs/>
                <w:color w:val="0D0D0D" w:themeColor="text1" w:themeTint="F2"/>
                <w:kern w:val="0"/>
                <w:sz w:val="22"/>
                <w:szCs w:val="22"/>
                <w14:ligatures w14:val="none"/>
              </w:rPr>
              <w:t xml:space="preserve"> Analogue</w:t>
            </w:r>
          </w:p>
        </w:tc>
        <w:tc>
          <w:tcPr>
            <w:tcW w:w="1000" w:type="pct"/>
            <w:tcBorders>
              <w:left w:val="nil"/>
              <w:bottom w:val="single" w:sz="4" w:space="0" w:color="auto"/>
              <w:right w:val="nil"/>
            </w:tcBorders>
            <w:noWrap/>
            <w:vAlign w:val="center"/>
            <w:hideMark/>
          </w:tcPr>
          <w:p w14:paraId="6A538D72" w14:textId="094DA282" w:rsidR="002E56DD" w:rsidRPr="007E5190" w:rsidRDefault="002E56DD" w:rsidP="002E56DD">
            <w:pPr>
              <w:jc w:val="center"/>
              <w:rPr>
                <w:rFonts w:ascii="Times New Roman" w:eastAsia="Times New Roman" w:hAnsi="Times New Roman" w:cs="Times New Roman"/>
                <w:b/>
                <w:bCs/>
                <w:color w:val="0D0D0D" w:themeColor="text1" w:themeTint="F2"/>
                <w:kern w:val="0"/>
                <w:sz w:val="22"/>
                <w:szCs w:val="22"/>
                <w14:ligatures w14:val="none"/>
              </w:rPr>
            </w:pPr>
            <w:r w:rsidRPr="007E5190">
              <w:rPr>
                <w:rFonts w:ascii="Times New Roman" w:eastAsia="Times New Roman" w:hAnsi="Times New Roman" w:cs="Times New Roman"/>
                <w:b/>
                <w:bCs/>
                <w:color w:val="0D0D0D" w:themeColor="text1" w:themeTint="F2"/>
                <w:kern w:val="0"/>
                <w:sz w:val="22"/>
                <w:szCs w:val="22"/>
                <w14:ligatures w14:val="none"/>
              </w:rPr>
              <w:t>Lupeol</w:t>
            </w:r>
            <w:r w:rsidR="00C329B9" w:rsidRPr="007E5190">
              <w:rPr>
                <w:rFonts w:ascii="Times New Roman" w:eastAsia="Times New Roman" w:hAnsi="Times New Roman" w:cs="Times New Roman"/>
                <w:b/>
                <w:bCs/>
                <w:color w:val="0D0D0D" w:themeColor="text1" w:themeTint="F2"/>
                <w:kern w:val="0"/>
                <w:sz w:val="22"/>
                <w:szCs w:val="22"/>
                <w14:ligatures w14:val="none"/>
              </w:rPr>
              <w:t xml:space="preserve"> Analogue</w:t>
            </w:r>
          </w:p>
        </w:tc>
        <w:tc>
          <w:tcPr>
            <w:tcW w:w="1000" w:type="pct"/>
            <w:tcBorders>
              <w:left w:val="nil"/>
              <w:bottom w:val="single" w:sz="4" w:space="0" w:color="auto"/>
              <w:right w:val="nil"/>
            </w:tcBorders>
            <w:noWrap/>
            <w:vAlign w:val="center"/>
            <w:hideMark/>
          </w:tcPr>
          <w:p w14:paraId="22665031" w14:textId="12CED6E6" w:rsidR="002E56DD" w:rsidRPr="007E5190" w:rsidRDefault="002E56DD" w:rsidP="002E56DD">
            <w:pPr>
              <w:jc w:val="center"/>
              <w:rPr>
                <w:rFonts w:ascii="Times New Roman" w:eastAsia="Times New Roman" w:hAnsi="Times New Roman" w:cs="Times New Roman"/>
                <w:b/>
                <w:bCs/>
                <w:color w:val="0D0D0D" w:themeColor="text1" w:themeTint="F2"/>
                <w:kern w:val="0"/>
                <w:sz w:val="22"/>
                <w:szCs w:val="22"/>
                <w14:ligatures w14:val="none"/>
              </w:rPr>
            </w:pPr>
            <w:proofErr w:type="spellStart"/>
            <w:r w:rsidRPr="007E5190">
              <w:rPr>
                <w:rFonts w:ascii="Times New Roman" w:eastAsia="Times New Roman" w:hAnsi="Times New Roman" w:cs="Times New Roman"/>
                <w:b/>
                <w:bCs/>
                <w:color w:val="0D0D0D" w:themeColor="text1" w:themeTint="F2"/>
                <w:kern w:val="0"/>
                <w:sz w:val="22"/>
                <w:szCs w:val="22"/>
                <w14:ligatures w14:val="none"/>
              </w:rPr>
              <w:t>Maslinic</w:t>
            </w:r>
            <w:proofErr w:type="spellEnd"/>
            <w:r w:rsidRPr="007E5190">
              <w:rPr>
                <w:rFonts w:ascii="Times New Roman" w:eastAsia="Times New Roman" w:hAnsi="Times New Roman" w:cs="Times New Roman"/>
                <w:b/>
                <w:bCs/>
                <w:color w:val="0D0D0D" w:themeColor="text1" w:themeTint="F2"/>
                <w:kern w:val="0"/>
                <w:sz w:val="22"/>
                <w:szCs w:val="22"/>
                <w14:ligatures w14:val="none"/>
              </w:rPr>
              <w:t xml:space="preserve"> Acid</w:t>
            </w:r>
            <w:r w:rsidR="00C329B9" w:rsidRPr="007E5190">
              <w:rPr>
                <w:rFonts w:ascii="Times New Roman" w:eastAsia="Times New Roman" w:hAnsi="Times New Roman" w:cs="Times New Roman"/>
                <w:b/>
                <w:bCs/>
                <w:color w:val="0D0D0D" w:themeColor="text1" w:themeTint="F2"/>
                <w:kern w:val="0"/>
                <w:sz w:val="22"/>
                <w:szCs w:val="22"/>
                <w14:ligatures w14:val="none"/>
              </w:rPr>
              <w:t xml:space="preserve"> Analogue</w:t>
            </w:r>
          </w:p>
        </w:tc>
      </w:tr>
      <w:tr w:rsidR="005E631E" w:rsidRPr="007E5190" w14:paraId="03E091C2" w14:textId="77777777" w:rsidTr="00C329B9">
        <w:trPr>
          <w:trHeight w:val="537"/>
          <w:jc w:val="center"/>
        </w:trPr>
        <w:tc>
          <w:tcPr>
            <w:tcW w:w="1000" w:type="pct"/>
            <w:tcBorders>
              <w:left w:val="nil"/>
              <w:bottom w:val="nil"/>
              <w:right w:val="nil"/>
            </w:tcBorders>
            <w:noWrap/>
            <w:vAlign w:val="center"/>
            <w:hideMark/>
          </w:tcPr>
          <w:p w14:paraId="29DB9CA2"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EHOMO (eV)</w:t>
            </w:r>
          </w:p>
        </w:tc>
        <w:tc>
          <w:tcPr>
            <w:tcW w:w="1000" w:type="pct"/>
            <w:tcBorders>
              <w:left w:val="nil"/>
              <w:bottom w:val="nil"/>
              <w:right w:val="nil"/>
            </w:tcBorders>
            <w:noWrap/>
            <w:vAlign w:val="center"/>
            <w:hideMark/>
          </w:tcPr>
          <w:p w14:paraId="6914C8F1"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-6.1136</w:t>
            </w:r>
          </w:p>
        </w:tc>
        <w:tc>
          <w:tcPr>
            <w:tcW w:w="1000" w:type="pct"/>
            <w:tcBorders>
              <w:left w:val="nil"/>
              <w:bottom w:val="nil"/>
              <w:right w:val="nil"/>
            </w:tcBorders>
            <w:noWrap/>
            <w:vAlign w:val="center"/>
            <w:hideMark/>
          </w:tcPr>
          <w:p w14:paraId="5D6DBA70"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-6.2852</w:t>
            </w:r>
          </w:p>
        </w:tc>
        <w:tc>
          <w:tcPr>
            <w:tcW w:w="1000" w:type="pct"/>
            <w:tcBorders>
              <w:left w:val="nil"/>
              <w:bottom w:val="nil"/>
              <w:right w:val="nil"/>
            </w:tcBorders>
            <w:noWrap/>
            <w:vAlign w:val="center"/>
            <w:hideMark/>
          </w:tcPr>
          <w:p w14:paraId="55964250"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-6.7539</w:t>
            </w:r>
          </w:p>
        </w:tc>
        <w:tc>
          <w:tcPr>
            <w:tcW w:w="1000" w:type="pct"/>
            <w:tcBorders>
              <w:left w:val="nil"/>
              <w:bottom w:val="nil"/>
              <w:right w:val="nil"/>
            </w:tcBorders>
            <w:noWrap/>
            <w:vAlign w:val="center"/>
            <w:hideMark/>
          </w:tcPr>
          <w:p w14:paraId="007AD8EC"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-5.7273</w:t>
            </w:r>
          </w:p>
        </w:tc>
      </w:tr>
      <w:tr w:rsidR="005E631E" w:rsidRPr="007E5190" w14:paraId="6E99AED0" w14:textId="77777777" w:rsidTr="00C329B9">
        <w:trPr>
          <w:trHeight w:val="537"/>
          <w:jc w:val="center"/>
        </w:trPr>
        <w:tc>
          <w:tcPr>
            <w:tcW w:w="1000" w:type="pct"/>
            <w:tcBorders>
              <w:top w:val="nil"/>
              <w:left w:val="nil"/>
              <w:bottom w:val="nil"/>
              <w:right w:val="nil"/>
            </w:tcBorders>
            <w:noWrap/>
            <w:vAlign w:val="center"/>
            <w:hideMark/>
          </w:tcPr>
          <w:p w14:paraId="59445F8C"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ELUMO (eV)</w:t>
            </w:r>
          </w:p>
        </w:tc>
        <w:tc>
          <w:tcPr>
            <w:tcW w:w="1000" w:type="pct"/>
            <w:tcBorders>
              <w:top w:val="nil"/>
              <w:left w:val="nil"/>
              <w:bottom w:val="nil"/>
              <w:right w:val="nil"/>
            </w:tcBorders>
            <w:noWrap/>
            <w:vAlign w:val="center"/>
            <w:hideMark/>
          </w:tcPr>
          <w:p w14:paraId="2F12594E"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-0.5037</w:t>
            </w:r>
          </w:p>
        </w:tc>
        <w:tc>
          <w:tcPr>
            <w:tcW w:w="1000" w:type="pct"/>
            <w:tcBorders>
              <w:top w:val="nil"/>
              <w:left w:val="nil"/>
              <w:bottom w:val="nil"/>
              <w:right w:val="nil"/>
            </w:tcBorders>
            <w:noWrap/>
            <w:vAlign w:val="center"/>
            <w:hideMark/>
          </w:tcPr>
          <w:p w14:paraId="6DF8DEF3"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-1.3613</w:t>
            </w:r>
          </w:p>
        </w:tc>
        <w:tc>
          <w:tcPr>
            <w:tcW w:w="1000" w:type="pct"/>
            <w:tcBorders>
              <w:top w:val="nil"/>
              <w:left w:val="nil"/>
              <w:bottom w:val="nil"/>
              <w:right w:val="nil"/>
            </w:tcBorders>
            <w:noWrap/>
            <w:vAlign w:val="center"/>
            <w:hideMark/>
          </w:tcPr>
          <w:p w14:paraId="7F8DF367"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0.5012</w:t>
            </w:r>
          </w:p>
        </w:tc>
        <w:tc>
          <w:tcPr>
            <w:tcW w:w="1000" w:type="pct"/>
            <w:tcBorders>
              <w:top w:val="nil"/>
              <w:left w:val="nil"/>
              <w:bottom w:val="nil"/>
              <w:right w:val="nil"/>
            </w:tcBorders>
            <w:noWrap/>
            <w:vAlign w:val="center"/>
            <w:hideMark/>
          </w:tcPr>
          <w:p w14:paraId="03BFC29D"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-0.7822</w:t>
            </w:r>
          </w:p>
        </w:tc>
      </w:tr>
      <w:tr w:rsidR="005E631E" w:rsidRPr="007E5190" w14:paraId="0AA7BC0B" w14:textId="77777777" w:rsidTr="00C329B9">
        <w:trPr>
          <w:trHeight w:val="537"/>
          <w:jc w:val="center"/>
        </w:trPr>
        <w:tc>
          <w:tcPr>
            <w:tcW w:w="1000" w:type="pct"/>
            <w:tcBorders>
              <w:top w:val="nil"/>
              <w:left w:val="nil"/>
              <w:bottom w:val="nil"/>
              <w:right w:val="nil"/>
            </w:tcBorders>
            <w:noWrap/>
            <w:vAlign w:val="center"/>
            <w:hideMark/>
          </w:tcPr>
          <w:p w14:paraId="18D46118"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Energy band gap (eV)</w:t>
            </w:r>
          </w:p>
        </w:tc>
        <w:tc>
          <w:tcPr>
            <w:tcW w:w="1000" w:type="pct"/>
            <w:tcBorders>
              <w:top w:val="nil"/>
              <w:left w:val="nil"/>
              <w:bottom w:val="nil"/>
              <w:right w:val="nil"/>
            </w:tcBorders>
            <w:noWrap/>
            <w:vAlign w:val="center"/>
            <w:hideMark/>
          </w:tcPr>
          <w:p w14:paraId="269D8F31"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5.6099</w:t>
            </w:r>
          </w:p>
        </w:tc>
        <w:tc>
          <w:tcPr>
            <w:tcW w:w="1000" w:type="pct"/>
            <w:tcBorders>
              <w:top w:val="nil"/>
              <w:left w:val="nil"/>
              <w:bottom w:val="nil"/>
              <w:right w:val="nil"/>
            </w:tcBorders>
            <w:noWrap/>
            <w:vAlign w:val="center"/>
            <w:hideMark/>
          </w:tcPr>
          <w:p w14:paraId="058B0A7E"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4.9239</w:t>
            </w:r>
          </w:p>
        </w:tc>
        <w:tc>
          <w:tcPr>
            <w:tcW w:w="1000" w:type="pct"/>
            <w:tcBorders>
              <w:top w:val="nil"/>
              <w:left w:val="nil"/>
              <w:bottom w:val="nil"/>
              <w:right w:val="nil"/>
            </w:tcBorders>
            <w:noWrap/>
            <w:vAlign w:val="center"/>
            <w:hideMark/>
          </w:tcPr>
          <w:p w14:paraId="421E4663"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7.2551</w:t>
            </w:r>
          </w:p>
        </w:tc>
        <w:tc>
          <w:tcPr>
            <w:tcW w:w="1000" w:type="pct"/>
            <w:tcBorders>
              <w:top w:val="nil"/>
              <w:left w:val="nil"/>
              <w:bottom w:val="nil"/>
              <w:right w:val="nil"/>
            </w:tcBorders>
            <w:noWrap/>
            <w:vAlign w:val="center"/>
            <w:hideMark/>
          </w:tcPr>
          <w:p w14:paraId="1E7F09CD"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4.9451</w:t>
            </w:r>
          </w:p>
        </w:tc>
      </w:tr>
      <w:tr w:rsidR="005E631E" w:rsidRPr="007E5190" w14:paraId="3036D6D7" w14:textId="77777777" w:rsidTr="00C329B9">
        <w:trPr>
          <w:trHeight w:val="537"/>
          <w:jc w:val="center"/>
        </w:trPr>
        <w:tc>
          <w:tcPr>
            <w:tcW w:w="1000" w:type="pct"/>
            <w:tcBorders>
              <w:top w:val="nil"/>
              <w:left w:val="nil"/>
              <w:bottom w:val="nil"/>
              <w:right w:val="nil"/>
            </w:tcBorders>
            <w:noWrap/>
            <w:vAlign w:val="center"/>
            <w:hideMark/>
          </w:tcPr>
          <w:p w14:paraId="5FE598CF"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lastRenderedPageBreak/>
              <w:t>Ionization potential (eV)</w:t>
            </w:r>
          </w:p>
        </w:tc>
        <w:tc>
          <w:tcPr>
            <w:tcW w:w="1000" w:type="pct"/>
            <w:tcBorders>
              <w:top w:val="nil"/>
              <w:left w:val="nil"/>
              <w:bottom w:val="nil"/>
              <w:right w:val="nil"/>
            </w:tcBorders>
            <w:noWrap/>
            <w:vAlign w:val="center"/>
            <w:hideMark/>
          </w:tcPr>
          <w:p w14:paraId="06241A7D"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6.1136</w:t>
            </w:r>
          </w:p>
        </w:tc>
        <w:tc>
          <w:tcPr>
            <w:tcW w:w="1000" w:type="pct"/>
            <w:tcBorders>
              <w:top w:val="nil"/>
              <w:left w:val="nil"/>
              <w:bottom w:val="nil"/>
              <w:right w:val="nil"/>
            </w:tcBorders>
            <w:noWrap/>
            <w:vAlign w:val="center"/>
            <w:hideMark/>
          </w:tcPr>
          <w:p w14:paraId="3218E65B"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6.2852</w:t>
            </w:r>
          </w:p>
        </w:tc>
        <w:tc>
          <w:tcPr>
            <w:tcW w:w="1000" w:type="pct"/>
            <w:tcBorders>
              <w:top w:val="nil"/>
              <w:left w:val="nil"/>
              <w:bottom w:val="nil"/>
              <w:right w:val="nil"/>
            </w:tcBorders>
            <w:noWrap/>
            <w:vAlign w:val="center"/>
            <w:hideMark/>
          </w:tcPr>
          <w:p w14:paraId="004A0CB3"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6.7539</w:t>
            </w:r>
          </w:p>
        </w:tc>
        <w:tc>
          <w:tcPr>
            <w:tcW w:w="1000" w:type="pct"/>
            <w:tcBorders>
              <w:top w:val="nil"/>
              <w:left w:val="nil"/>
              <w:bottom w:val="nil"/>
              <w:right w:val="nil"/>
            </w:tcBorders>
            <w:noWrap/>
            <w:vAlign w:val="center"/>
            <w:hideMark/>
          </w:tcPr>
          <w:p w14:paraId="33D5E820"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5.7273</w:t>
            </w:r>
          </w:p>
        </w:tc>
      </w:tr>
      <w:tr w:rsidR="005E631E" w:rsidRPr="007E5190" w14:paraId="4F2B6842" w14:textId="77777777" w:rsidTr="00C329B9">
        <w:trPr>
          <w:trHeight w:val="537"/>
          <w:jc w:val="center"/>
        </w:trPr>
        <w:tc>
          <w:tcPr>
            <w:tcW w:w="1000" w:type="pct"/>
            <w:tcBorders>
              <w:top w:val="nil"/>
              <w:left w:val="nil"/>
              <w:bottom w:val="nil"/>
              <w:right w:val="nil"/>
            </w:tcBorders>
            <w:noWrap/>
            <w:vAlign w:val="center"/>
            <w:hideMark/>
          </w:tcPr>
          <w:p w14:paraId="42DCB558"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Electron affinity (eV)</w:t>
            </w:r>
          </w:p>
        </w:tc>
        <w:tc>
          <w:tcPr>
            <w:tcW w:w="1000" w:type="pct"/>
            <w:tcBorders>
              <w:top w:val="nil"/>
              <w:left w:val="nil"/>
              <w:bottom w:val="nil"/>
              <w:right w:val="nil"/>
            </w:tcBorders>
            <w:noWrap/>
            <w:vAlign w:val="center"/>
            <w:hideMark/>
          </w:tcPr>
          <w:p w14:paraId="2825D680"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0.5037</w:t>
            </w:r>
          </w:p>
        </w:tc>
        <w:tc>
          <w:tcPr>
            <w:tcW w:w="1000" w:type="pct"/>
            <w:tcBorders>
              <w:top w:val="nil"/>
              <w:left w:val="nil"/>
              <w:bottom w:val="nil"/>
              <w:right w:val="nil"/>
            </w:tcBorders>
            <w:noWrap/>
            <w:vAlign w:val="center"/>
            <w:hideMark/>
          </w:tcPr>
          <w:p w14:paraId="4EA2A4B2"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1.3613</w:t>
            </w:r>
          </w:p>
        </w:tc>
        <w:tc>
          <w:tcPr>
            <w:tcW w:w="1000" w:type="pct"/>
            <w:tcBorders>
              <w:top w:val="nil"/>
              <w:left w:val="nil"/>
              <w:bottom w:val="nil"/>
              <w:right w:val="nil"/>
            </w:tcBorders>
            <w:noWrap/>
            <w:vAlign w:val="center"/>
            <w:hideMark/>
          </w:tcPr>
          <w:p w14:paraId="50952358"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-0.5012</w:t>
            </w:r>
          </w:p>
        </w:tc>
        <w:tc>
          <w:tcPr>
            <w:tcW w:w="1000" w:type="pct"/>
            <w:tcBorders>
              <w:top w:val="nil"/>
              <w:left w:val="nil"/>
              <w:bottom w:val="nil"/>
              <w:right w:val="nil"/>
            </w:tcBorders>
            <w:noWrap/>
            <w:vAlign w:val="center"/>
            <w:hideMark/>
          </w:tcPr>
          <w:p w14:paraId="0479C947"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0.7822</w:t>
            </w:r>
          </w:p>
        </w:tc>
      </w:tr>
      <w:tr w:rsidR="005E631E" w:rsidRPr="007E5190" w14:paraId="7AD833D8" w14:textId="77777777" w:rsidTr="00C329B9">
        <w:trPr>
          <w:trHeight w:val="537"/>
          <w:jc w:val="center"/>
        </w:trPr>
        <w:tc>
          <w:tcPr>
            <w:tcW w:w="1000" w:type="pct"/>
            <w:tcBorders>
              <w:top w:val="nil"/>
              <w:left w:val="nil"/>
              <w:bottom w:val="nil"/>
              <w:right w:val="nil"/>
            </w:tcBorders>
            <w:noWrap/>
            <w:vAlign w:val="center"/>
            <w:hideMark/>
          </w:tcPr>
          <w:p w14:paraId="4F4B800C"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Chemical hardness (eV)</w:t>
            </w:r>
          </w:p>
        </w:tc>
        <w:tc>
          <w:tcPr>
            <w:tcW w:w="1000" w:type="pct"/>
            <w:tcBorders>
              <w:top w:val="nil"/>
              <w:left w:val="nil"/>
              <w:bottom w:val="nil"/>
              <w:right w:val="nil"/>
            </w:tcBorders>
            <w:noWrap/>
            <w:vAlign w:val="center"/>
            <w:hideMark/>
          </w:tcPr>
          <w:p w14:paraId="1E7C1E8F"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2.80495</w:t>
            </w:r>
          </w:p>
        </w:tc>
        <w:tc>
          <w:tcPr>
            <w:tcW w:w="1000" w:type="pct"/>
            <w:tcBorders>
              <w:top w:val="nil"/>
              <w:left w:val="nil"/>
              <w:bottom w:val="nil"/>
              <w:right w:val="nil"/>
            </w:tcBorders>
            <w:noWrap/>
            <w:vAlign w:val="center"/>
            <w:hideMark/>
          </w:tcPr>
          <w:p w14:paraId="1AAD1165"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2.46195</w:t>
            </w:r>
          </w:p>
        </w:tc>
        <w:tc>
          <w:tcPr>
            <w:tcW w:w="1000" w:type="pct"/>
            <w:tcBorders>
              <w:top w:val="nil"/>
              <w:left w:val="nil"/>
              <w:bottom w:val="nil"/>
              <w:right w:val="nil"/>
            </w:tcBorders>
            <w:noWrap/>
            <w:vAlign w:val="center"/>
            <w:hideMark/>
          </w:tcPr>
          <w:p w14:paraId="7C810111"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3.62755</w:t>
            </w:r>
          </w:p>
        </w:tc>
        <w:tc>
          <w:tcPr>
            <w:tcW w:w="1000" w:type="pct"/>
            <w:tcBorders>
              <w:top w:val="nil"/>
              <w:left w:val="nil"/>
              <w:bottom w:val="nil"/>
              <w:right w:val="nil"/>
            </w:tcBorders>
            <w:noWrap/>
            <w:vAlign w:val="center"/>
            <w:hideMark/>
          </w:tcPr>
          <w:p w14:paraId="7C12DDE9"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2.47255</w:t>
            </w:r>
          </w:p>
        </w:tc>
      </w:tr>
      <w:tr w:rsidR="005E631E" w:rsidRPr="007E5190" w14:paraId="7FD76294" w14:textId="77777777" w:rsidTr="00C329B9">
        <w:trPr>
          <w:trHeight w:val="537"/>
          <w:jc w:val="center"/>
        </w:trPr>
        <w:tc>
          <w:tcPr>
            <w:tcW w:w="1000" w:type="pct"/>
            <w:tcBorders>
              <w:top w:val="nil"/>
              <w:left w:val="nil"/>
              <w:bottom w:val="nil"/>
              <w:right w:val="nil"/>
            </w:tcBorders>
            <w:noWrap/>
            <w:vAlign w:val="center"/>
            <w:hideMark/>
          </w:tcPr>
          <w:p w14:paraId="5349DD94" w14:textId="35C4E516"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Chemical softness (eV</w:t>
            </w:r>
            <w:r w:rsidR="00241D53" w:rsidRPr="007E5190">
              <w:rPr>
                <w:rFonts w:ascii="Times New Roman" w:eastAsia="Times New Roman" w:hAnsi="Times New Roman" w:cs="Times New Roman"/>
                <w:color w:val="0D0D0D" w:themeColor="text1" w:themeTint="F2"/>
                <w:kern w:val="0"/>
                <w:sz w:val="22"/>
                <w:szCs w:val="22"/>
                <w:vertAlign w:val="superscript"/>
                <w14:ligatures w14:val="none"/>
              </w:rPr>
              <w:t>-1</w:t>
            </w:r>
            <w:r w:rsidRPr="007E5190">
              <w:rPr>
                <w:rFonts w:ascii="Times New Roman" w:eastAsia="Times New Roman" w:hAnsi="Times New Roman" w:cs="Times New Roman"/>
                <w:color w:val="0D0D0D" w:themeColor="text1" w:themeTint="F2"/>
                <w:kern w:val="0"/>
                <w:sz w:val="22"/>
                <w:szCs w:val="22"/>
                <w14:ligatures w14:val="none"/>
              </w:rPr>
              <w:t>)</w:t>
            </w:r>
          </w:p>
        </w:tc>
        <w:tc>
          <w:tcPr>
            <w:tcW w:w="1000" w:type="pct"/>
            <w:tcBorders>
              <w:top w:val="nil"/>
              <w:left w:val="nil"/>
              <w:bottom w:val="nil"/>
              <w:right w:val="nil"/>
            </w:tcBorders>
            <w:noWrap/>
            <w:vAlign w:val="center"/>
            <w:hideMark/>
          </w:tcPr>
          <w:p w14:paraId="53C65733"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0.35651</w:t>
            </w:r>
          </w:p>
        </w:tc>
        <w:tc>
          <w:tcPr>
            <w:tcW w:w="1000" w:type="pct"/>
            <w:tcBorders>
              <w:top w:val="nil"/>
              <w:left w:val="nil"/>
              <w:bottom w:val="nil"/>
              <w:right w:val="nil"/>
            </w:tcBorders>
            <w:noWrap/>
            <w:vAlign w:val="center"/>
            <w:hideMark/>
          </w:tcPr>
          <w:p w14:paraId="7B0C1099"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0.40618</w:t>
            </w:r>
          </w:p>
        </w:tc>
        <w:tc>
          <w:tcPr>
            <w:tcW w:w="1000" w:type="pct"/>
            <w:tcBorders>
              <w:top w:val="nil"/>
              <w:left w:val="nil"/>
              <w:bottom w:val="nil"/>
              <w:right w:val="nil"/>
            </w:tcBorders>
            <w:noWrap/>
            <w:vAlign w:val="center"/>
            <w:hideMark/>
          </w:tcPr>
          <w:p w14:paraId="18E5ABF4"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0.27567</w:t>
            </w:r>
          </w:p>
        </w:tc>
        <w:tc>
          <w:tcPr>
            <w:tcW w:w="1000" w:type="pct"/>
            <w:tcBorders>
              <w:top w:val="nil"/>
              <w:left w:val="nil"/>
              <w:bottom w:val="nil"/>
              <w:right w:val="nil"/>
            </w:tcBorders>
            <w:noWrap/>
            <w:vAlign w:val="center"/>
            <w:hideMark/>
          </w:tcPr>
          <w:p w14:paraId="3E02788C"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0.40444</w:t>
            </w:r>
          </w:p>
        </w:tc>
      </w:tr>
      <w:tr w:rsidR="005E631E" w:rsidRPr="007E5190" w14:paraId="6BDC983E" w14:textId="77777777" w:rsidTr="00C329B9">
        <w:trPr>
          <w:trHeight w:val="537"/>
          <w:jc w:val="center"/>
        </w:trPr>
        <w:tc>
          <w:tcPr>
            <w:tcW w:w="1000" w:type="pct"/>
            <w:tcBorders>
              <w:top w:val="nil"/>
              <w:left w:val="nil"/>
              <w:bottom w:val="nil"/>
              <w:right w:val="nil"/>
            </w:tcBorders>
            <w:noWrap/>
            <w:vAlign w:val="center"/>
            <w:hideMark/>
          </w:tcPr>
          <w:p w14:paraId="04EDD22A"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Electronegativity (eV)</w:t>
            </w:r>
          </w:p>
        </w:tc>
        <w:tc>
          <w:tcPr>
            <w:tcW w:w="1000" w:type="pct"/>
            <w:tcBorders>
              <w:top w:val="nil"/>
              <w:left w:val="nil"/>
              <w:bottom w:val="nil"/>
              <w:right w:val="nil"/>
            </w:tcBorders>
            <w:noWrap/>
            <w:vAlign w:val="center"/>
            <w:hideMark/>
          </w:tcPr>
          <w:p w14:paraId="32A43541"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-3.30865</w:t>
            </w:r>
          </w:p>
        </w:tc>
        <w:tc>
          <w:tcPr>
            <w:tcW w:w="1000" w:type="pct"/>
            <w:tcBorders>
              <w:top w:val="nil"/>
              <w:left w:val="nil"/>
              <w:bottom w:val="nil"/>
              <w:right w:val="nil"/>
            </w:tcBorders>
            <w:noWrap/>
            <w:vAlign w:val="center"/>
            <w:hideMark/>
          </w:tcPr>
          <w:p w14:paraId="609BC797"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-3.82325</w:t>
            </w:r>
          </w:p>
        </w:tc>
        <w:tc>
          <w:tcPr>
            <w:tcW w:w="1000" w:type="pct"/>
            <w:tcBorders>
              <w:top w:val="nil"/>
              <w:left w:val="nil"/>
              <w:bottom w:val="nil"/>
              <w:right w:val="nil"/>
            </w:tcBorders>
            <w:noWrap/>
            <w:vAlign w:val="center"/>
            <w:hideMark/>
          </w:tcPr>
          <w:p w14:paraId="5344E8E9"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-3.12635</w:t>
            </w:r>
          </w:p>
        </w:tc>
        <w:tc>
          <w:tcPr>
            <w:tcW w:w="1000" w:type="pct"/>
            <w:tcBorders>
              <w:top w:val="nil"/>
              <w:left w:val="nil"/>
              <w:bottom w:val="nil"/>
              <w:right w:val="nil"/>
            </w:tcBorders>
            <w:noWrap/>
            <w:vAlign w:val="center"/>
            <w:hideMark/>
          </w:tcPr>
          <w:p w14:paraId="15A8128E"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-3.25475</w:t>
            </w:r>
          </w:p>
        </w:tc>
      </w:tr>
      <w:tr w:rsidR="005E631E" w:rsidRPr="007E5190" w14:paraId="63CDBCF5" w14:textId="77777777" w:rsidTr="00C329B9">
        <w:trPr>
          <w:trHeight w:val="537"/>
          <w:jc w:val="center"/>
        </w:trPr>
        <w:tc>
          <w:tcPr>
            <w:tcW w:w="1000" w:type="pct"/>
            <w:tcBorders>
              <w:top w:val="nil"/>
              <w:left w:val="nil"/>
              <w:bottom w:val="nil"/>
              <w:right w:val="nil"/>
            </w:tcBorders>
            <w:noWrap/>
            <w:vAlign w:val="center"/>
            <w:hideMark/>
          </w:tcPr>
          <w:p w14:paraId="08C96761"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Chemical potential (eV)</w:t>
            </w:r>
          </w:p>
        </w:tc>
        <w:tc>
          <w:tcPr>
            <w:tcW w:w="1000" w:type="pct"/>
            <w:tcBorders>
              <w:top w:val="nil"/>
              <w:left w:val="nil"/>
              <w:bottom w:val="nil"/>
              <w:right w:val="nil"/>
            </w:tcBorders>
            <w:noWrap/>
            <w:vAlign w:val="center"/>
            <w:hideMark/>
          </w:tcPr>
          <w:p w14:paraId="318FBA99"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3.30865</w:t>
            </w:r>
          </w:p>
        </w:tc>
        <w:tc>
          <w:tcPr>
            <w:tcW w:w="1000" w:type="pct"/>
            <w:tcBorders>
              <w:top w:val="nil"/>
              <w:left w:val="nil"/>
              <w:bottom w:val="nil"/>
              <w:right w:val="nil"/>
            </w:tcBorders>
            <w:noWrap/>
            <w:vAlign w:val="center"/>
            <w:hideMark/>
          </w:tcPr>
          <w:p w14:paraId="71F6488F"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3.82325</w:t>
            </w:r>
          </w:p>
        </w:tc>
        <w:tc>
          <w:tcPr>
            <w:tcW w:w="1000" w:type="pct"/>
            <w:tcBorders>
              <w:top w:val="nil"/>
              <w:left w:val="nil"/>
              <w:bottom w:val="nil"/>
              <w:right w:val="nil"/>
            </w:tcBorders>
            <w:noWrap/>
            <w:vAlign w:val="center"/>
            <w:hideMark/>
          </w:tcPr>
          <w:p w14:paraId="104A9302"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3.12635</w:t>
            </w:r>
          </w:p>
        </w:tc>
        <w:tc>
          <w:tcPr>
            <w:tcW w:w="1000" w:type="pct"/>
            <w:tcBorders>
              <w:top w:val="nil"/>
              <w:left w:val="nil"/>
              <w:bottom w:val="nil"/>
              <w:right w:val="nil"/>
            </w:tcBorders>
            <w:noWrap/>
            <w:vAlign w:val="center"/>
            <w:hideMark/>
          </w:tcPr>
          <w:p w14:paraId="17F66D59"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3.25475</w:t>
            </w:r>
          </w:p>
        </w:tc>
      </w:tr>
      <w:tr w:rsidR="005E631E" w:rsidRPr="007E5190" w14:paraId="5405145D" w14:textId="77777777" w:rsidTr="00C329B9">
        <w:trPr>
          <w:trHeight w:val="537"/>
          <w:jc w:val="center"/>
        </w:trPr>
        <w:tc>
          <w:tcPr>
            <w:tcW w:w="1000" w:type="pct"/>
            <w:tcBorders>
              <w:top w:val="nil"/>
              <w:left w:val="nil"/>
              <w:bottom w:val="nil"/>
              <w:right w:val="nil"/>
            </w:tcBorders>
            <w:noWrap/>
            <w:vAlign w:val="center"/>
            <w:hideMark/>
          </w:tcPr>
          <w:p w14:paraId="66D6E3BC"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Electrophilicity index (eV)</w:t>
            </w:r>
          </w:p>
        </w:tc>
        <w:tc>
          <w:tcPr>
            <w:tcW w:w="1000" w:type="pct"/>
            <w:tcBorders>
              <w:top w:val="nil"/>
              <w:left w:val="nil"/>
              <w:bottom w:val="nil"/>
              <w:right w:val="nil"/>
            </w:tcBorders>
            <w:noWrap/>
            <w:vAlign w:val="center"/>
            <w:hideMark/>
          </w:tcPr>
          <w:p w14:paraId="5CEB903E"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1.9514</w:t>
            </w:r>
          </w:p>
        </w:tc>
        <w:tc>
          <w:tcPr>
            <w:tcW w:w="1000" w:type="pct"/>
            <w:tcBorders>
              <w:top w:val="nil"/>
              <w:left w:val="nil"/>
              <w:bottom w:val="nil"/>
              <w:right w:val="nil"/>
            </w:tcBorders>
            <w:noWrap/>
            <w:vAlign w:val="center"/>
            <w:hideMark/>
          </w:tcPr>
          <w:p w14:paraId="54097868"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2.96863</w:t>
            </w:r>
          </w:p>
        </w:tc>
        <w:tc>
          <w:tcPr>
            <w:tcW w:w="1000" w:type="pct"/>
            <w:tcBorders>
              <w:top w:val="nil"/>
              <w:left w:val="nil"/>
              <w:bottom w:val="nil"/>
              <w:right w:val="nil"/>
            </w:tcBorders>
            <w:noWrap/>
            <w:vAlign w:val="center"/>
            <w:hideMark/>
          </w:tcPr>
          <w:p w14:paraId="0A5D1E7A"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1.3472</w:t>
            </w:r>
          </w:p>
        </w:tc>
        <w:tc>
          <w:tcPr>
            <w:tcW w:w="1000" w:type="pct"/>
            <w:tcBorders>
              <w:top w:val="nil"/>
              <w:left w:val="nil"/>
              <w:bottom w:val="nil"/>
              <w:right w:val="nil"/>
            </w:tcBorders>
            <w:noWrap/>
            <w:vAlign w:val="center"/>
            <w:hideMark/>
          </w:tcPr>
          <w:p w14:paraId="3166E8FE"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2.1422</w:t>
            </w:r>
          </w:p>
        </w:tc>
      </w:tr>
      <w:tr w:rsidR="002E56DD" w:rsidRPr="007E5190" w14:paraId="5EEF7FC2" w14:textId="77777777" w:rsidTr="00C329B9">
        <w:trPr>
          <w:trHeight w:val="538"/>
          <w:jc w:val="center"/>
        </w:trPr>
        <w:tc>
          <w:tcPr>
            <w:tcW w:w="1000" w:type="pct"/>
            <w:tcBorders>
              <w:top w:val="nil"/>
              <w:left w:val="nil"/>
              <w:right w:val="nil"/>
            </w:tcBorders>
            <w:noWrap/>
            <w:vAlign w:val="center"/>
            <w:hideMark/>
          </w:tcPr>
          <w:p w14:paraId="61EB278C"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Max charge transfer (eV)</w:t>
            </w:r>
          </w:p>
        </w:tc>
        <w:tc>
          <w:tcPr>
            <w:tcW w:w="1000" w:type="pct"/>
            <w:tcBorders>
              <w:top w:val="nil"/>
              <w:left w:val="nil"/>
              <w:right w:val="nil"/>
            </w:tcBorders>
            <w:noWrap/>
            <w:vAlign w:val="center"/>
            <w:hideMark/>
          </w:tcPr>
          <w:p w14:paraId="1559180E"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-1.17958</w:t>
            </w:r>
          </w:p>
        </w:tc>
        <w:tc>
          <w:tcPr>
            <w:tcW w:w="1000" w:type="pct"/>
            <w:tcBorders>
              <w:top w:val="nil"/>
              <w:left w:val="nil"/>
              <w:right w:val="nil"/>
            </w:tcBorders>
            <w:noWrap/>
            <w:vAlign w:val="center"/>
            <w:hideMark/>
          </w:tcPr>
          <w:p w14:paraId="15FC7DAC"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-1.55294</w:t>
            </w:r>
          </w:p>
        </w:tc>
        <w:tc>
          <w:tcPr>
            <w:tcW w:w="1000" w:type="pct"/>
            <w:tcBorders>
              <w:top w:val="nil"/>
              <w:left w:val="nil"/>
              <w:right w:val="nil"/>
            </w:tcBorders>
            <w:noWrap/>
            <w:vAlign w:val="center"/>
            <w:hideMark/>
          </w:tcPr>
          <w:p w14:paraId="126DE5E3"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-0.86184</w:t>
            </w:r>
          </w:p>
        </w:tc>
        <w:tc>
          <w:tcPr>
            <w:tcW w:w="1000" w:type="pct"/>
            <w:tcBorders>
              <w:top w:val="nil"/>
              <w:left w:val="nil"/>
              <w:right w:val="nil"/>
            </w:tcBorders>
            <w:noWrap/>
            <w:vAlign w:val="center"/>
            <w:hideMark/>
          </w:tcPr>
          <w:p w14:paraId="1D18E3FF" w14:textId="77777777" w:rsidR="002E56DD" w:rsidRPr="007E5190" w:rsidRDefault="002E56DD" w:rsidP="002E56DD">
            <w:pPr>
              <w:jc w:val="center"/>
              <w:rPr>
                <w:rFonts w:ascii="Times New Roman" w:eastAsia="Times New Roman" w:hAnsi="Times New Roman" w:cs="Times New Roman"/>
                <w:color w:val="0D0D0D" w:themeColor="text1" w:themeTint="F2"/>
                <w:kern w:val="0"/>
                <w:sz w:val="22"/>
                <w:szCs w:val="22"/>
                <w14:ligatures w14:val="none"/>
              </w:rPr>
            </w:pPr>
            <w:r w:rsidRPr="007E5190">
              <w:rPr>
                <w:rFonts w:ascii="Times New Roman" w:eastAsia="Times New Roman" w:hAnsi="Times New Roman" w:cs="Times New Roman"/>
                <w:color w:val="0D0D0D" w:themeColor="text1" w:themeTint="F2"/>
                <w:kern w:val="0"/>
                <w:sz w:val="22"/>
                <w:szCs w:val="22"/>
                <w14:ligatures w14:val="none"/>
              </w:rPr>
              <w:t>-1.31635</w:t>
            </w:r>
          </w:p>
        </w:tc>
      </w:tr>
    </w:tbl>
    <w:p w14:paraId="12878560" w14:textId="6F1A309A" w:rsidR="009270E7" w:rsidRPr="007E5190" w:rsidRDefault="00794D96" w:rsidP="00564282">
      <w:pPr>
        <w:spacing w:before="120"/>
        <w:jc w:val="both"/>
        <w:rPr>
          <w:rFonts w:ascii="Times New Roman" w:hAnsi="Times New Roman" w:cs="Times New Roman"/>
          <w:color w:val="4472C4" w:themeColor="accent1"/>
        </w:rPr>
      </w:pPr>
      <w:r w:rsidRPr="007E5190">
        <w:rPr>
          <w:rFonts w:ascii="Times New Roman" w:hAnsi="Times New Roman" w:cs="Times New Roman"/>
          <w:color w:val="0D0D0D" w:themeColor="text1" w:themeTint="F2"/>
        </w:rPr>
        <w:t xml:space="preserve">The calculated energy gaps are presented in </w:t>
      </w:r>
      <w:r w:rsidR="00CC2B9D" w:rsidRPr="007E5190">
        <w:rPr>
          <w:rFonts w:ascii="Times New Roman" w:hAnsi="Times New Roman" w:cs="Times New Roman"/>
          <w:color w:val="4472C4" w:themeColor="accent1"/>
        </w:rPr>
        <w:fldChar w:fldCharType="begin"/>
      </w:r>
      <w:r w:rsidR="00CC2B9D" w:rsidRPr="007E5190">
        <w:rPr>
          <w:rFonts w:ascii="Times New Roman" w:hAnsi="Times New Roman" w:cs="Times New Roman"/>
          <w:color w:val="4472C4" w:themeColor="accent1"/>
        </w:rPr>
        <w:instrText xml:space="preserve"> REF _Ref213082403 \h </w:instrText>
      </w:r>
      <w:r w:rsidR="00F25C91" w:rsidRPr="007E5190">
        <w:rPr>
          <w:rFonts w:ascii="Times New Roman" w:hAnsi="Times New Roman" w:cs="Times New Roman"/>
          <w:color w:val="4472C4" w:themeColor="accent1"/>
        </w:rPr>
        <w:instrText xml:space="preserve"> \* MERGEFORMAT </w:instrText>
      </w:r>
      <w:r w:rsidR="00CC2B9D" w:rsidRPr="007E5190">
        <w:rPr>
          <w:rFonts w:ascii="Times New Roman" w:hAnsi="Times New Roman" w:cs="Times New Roman"/>
          <w:color w:val="4472C4" w:themeColor="accent1"/>
        </w:rPr>
      </w:r>
      <w:r w:rsidR="00CC2B9D" w:rsidRPr="007E5190">
        <w:rPr>
          <w:rFonts w:ascii="Times New Roman" w:hAnsi="Times New Roman" w:cs="Times New Roman"/>
          <w:color w:val="4472C4" w:themeColor="accent1"/>
        </w:rPr>
        <w:fldChar w:fldCharType="separate"/>
      </w:r>
      <w:r w:rsidR="00CC2B9D" w:rsidRPr="007E5190">
        <w:rPr>
          <w:rFonts w:ascii="Times New Roman" w:hAnsi="Times New Roman" w:cs="Times New Roman"/>
          <w:color w:val="4472C4" w:themeColor="accent1"/>
        </w:rPr>
        <w:t xml:space="preserve">Table </w:t>
      </w:r>
      <w:r w:rsidR="00CC2B9D" w:rsidRPr="007E5190">
        <w:rPr>
          <w:rFonts w:ascii="Times New Roman" w:hAnsi="Times New Roman" w:cs="Times New Roman"/>
          <w:noProof/>
          <w:color w:val="4472C4" w:themeColor="accent1"/>
        </w:rPr>
        <w:t>9</w:t>
      </w:r>
      <w:r w:rsidR="00CC2B9D"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xml:space="preserve">. The results show a direct and powerful correlation between chemical reactivity and the validated binding free </w:t>
      </w:r>
      <w:r w:rsidR="00CC2B9D" w:rsidRPr="007E5190">
        <w:rPr>
          <w:rFonts w:ascii="Times New Roman" w:hAnsi="Times New Roman" w:cs="Times New Roman"/>
          <w:color w:val="0D0D0D" w:themeColor="text1" w:themeTint="F2"/>
        </w:rPr>
        <w:t>energy</w:t>
      </w:r>
      <w:r w:rsidRPr="007E5190">
        <w:rPr>
          <w:rFonts w:ascii="Times New Roman" w:hAnsi="Times New Roman" w:cs="Times New Roman"/>
          <w:color w:val="0D0D0D" w:themeColor="text1" w:themeTint="F2"/>
        </w:rPr>
        <w:t xml:space="preserve"> from </w:t>
      </w:r>
      <w:r w:rsidR="00CC2B9D" w:rsidRPr="007E5190">
        <w:rPr>
          <w:rFonts w:ascii="Times New Roman" w:hAnsi="Times New Roman" w:cs="Times New Roman"/>
          <w:color w:val="4472C4" w:themeColor="accent1"/>
        </w:rPr>
        <w:fldChar w:fldCharType="begin"/>
      </w:r>
      <w:r w:rsidR="00CC2B9D" w:rsidRPr="007E5190">
        <w:rPr>
          <w:rFonts w:ascii="Times New Roman" w:hAnsi="Times New Roman" w:cs="Times New Roman"/>
          <w:color w:val="4472C4" w:themeColor="accent1"/>
        </w:rPr>
        <w:instrText xml:space="preserve"> REF _Ref213082033 \h </w:instrText>
      </w:r>
      <w:r w:rsidR="00F25C91" w:rsidRPr="007E5190">
        <w:rPr>
          <w:rFonts w:ascii="Times New Roman" w:hAnsi="Times New Roman" w:cs="Times New Roman"/>
          <w:color w:val="4472C4" w:themeColor="accent1"/>
        </w:rPr>
        <w:instrText xml:space="preserve"> \* MERGEFORMAT </w:instrText>
      </w:r>
      <w:r w:rsidR="00CC2B9D" w:rsidRPr="007E5190">
        <w:rPr>
          <w:rFonts w:ascii="Times New Roman" w:hAnsi="Times New Roman" w:cs="Times New Roman"/>
          <w:color w:val="4472C4" w:themeColor="accent1"/>
        </w:rPr>
      </w:r>
      <w:r w:rsidR="00CC2B9D" w:rsidRPr="007E5190">
        <w:rPr>
          <w:rFonts w:ascii="Times New Roman" w:hAnsi="Times New Roman" w:cs="Times New Roman"/>
          <w:color w:val="4472C4" w:themeColor="accent1"/>
        </w:rPr>
        <w:fldChar w:fldCharType="separate"/>
      </w:r>
      <w:r w:rsidR="00CC2B9D" w:rsidRPr="007E5190">
        <w:rPr>
          <w:rFonts w:ascii="Times New Roman" w:hAnsi="Times New Roman" w:cs="Times New Roman"/>
          <w:color w:val="4472C4" w:themeColor="accent1"/>
        </w:rPr>
        <w:t xml:space="preserve">Table </w:t>
      </w:r>
      <w:r w:rsidR="00CC2B9D" w:rsidRPr="007E5190">
        <w:rPr>
          <w:rFonts w:ascii="Times New Roman" w:hAnsi="Times New Roman" w:cs="Times New Roman"/>
          <w:noProof/>
          <w:color w:val="4472C4" w:themeColor="accent1"/>
        </w:rPr>
        <w:t>8</w:t>
      </w:r>
      <w:r w:rsidR="00CC2B9D"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xml:space="preserve">. </w:t>
      </w:r>
      <w:r w:rsidR="00CC2B9D" w:rsidRPr="007E5190">
        <w:rPr>
          <w:rFonts w:ascii="Times New Roman" w:hAnsi="Times New Roman" w:cs="Times New Roman"/>
          <w:color w:val="0D0D0D" w:themeColor="text1" w:themeTint="F2"/>
        </w:rPr>
        <w:t>The Lupeol analogue, which had the weakest binding energy (-9.3</w:t>
      </w:r>
      <w:r w:rsidR="004C1A59">
        <w:rPr>
          <w:rFonts w:ascii="Times New Roman" w:hAnsi="Times New Roman" w:cs="Times New Roman"/>
          <w:color w:val="0D0D0D" w:themeColor="text1" w:themeTint="F2"/>
        </w:rPr>
        <w:t>3</w:t>
      </w:r>
      <w:r w:rsidR="00CC2B9D" w:rsidRPr="007E5190">
        <w:rPr>
          <w:rFonts w:ascii="Times New Roman" w:hAnsi="Times New Roman" w:cs="Times New Roman"/>
          <w:color w:val="0D0D0D" w:themeColor="text1" w:themeTint="F2"/>
        </w:rPr>
        <w:t xml:space="preserve"> kcal/mol</w:t>
      </w:r>
      <w:r w:rsidR="00DD06FA" w:rsidRPr="007E5190">
        <w:rPr>
          <w:rFonts w:ascii="Times New Roman" w:hAnsi="Times New Roman" w:cs="Times New Roman"/>
          <w:color w:val="0D0D0D" w:themeColor="text1" w:themeTint="F2"/>
        </w:rPr>
        <w:t>,</w:t>
      </w:r>
      <w:r w:rsidR="00CC2B9D" w:rsidRPr="007E5190">
        <w:rPr>
          <w:rFonts w:ascii="Times New Roman" w:hAnsi="Times New Roman" w:cs="Times New Roman"/>
          <w:color w:val="4472C4" w:themeColor="accent1"/>
        </w:rPr>
        <w:t xml:space="preserve"> </w:t>
      </w:r>
      <w:r w:rsidR="00CC2B9D" w:rsidRPr="007E5190">
        <w:rPr>
          <w:rFonts w:ascii="Times New Roman" w:hAnsi="Times New Roman" w:cs="Times New Roman"/>
          <w:color w:val="4472C4" w:themeColor="accent1"/>
        </w:rPr>
        <w:fldChar w:fldCharType="begin"/>
      </w:r>
      <w:r w:rsidR="00CC2B9D" w:rsidRPr="007E5190">
        <w:rPr>
          <w:rFonts w:ascii="Times New Roman" w:hAnsi="Times New Roman" w:cs="Times New Roman"/>
          <w:color w:val="4472C4" w:themeColor="accent1"/>
        </w:rPr>
        <w:instrText xml:space="preserve"> REF _Ref213082033 \h </w:instrText>
      </w:r>
      <w:r w:rsidR="00F25C91" w:rsidRPr="007E5190">
        <w:rPr>
          <w:rFonts w:ascii="Times New Roman" w:hAnsi="Times New Roman" w:cs="Times New Roman"/>
          <w:color w:val="4472C4" w:themeColor="accent1"/>
        </w:rPr>
        <w:instrText xml:space="preserve"> \* MERGEFORMAT </w:instrText>
      </w:r>
      <w:r w:rsidR="00CC2B9D" w:rsidRPr="007E5190">
        <w:rPr>
          <w:rFonts w:ascii="Times New Roman" w:hAnsi="Times New Roman" w:cs="Times New Roman"/>
          <w:color w:val="4472C4" w:themeColor="accent1"/>
        </w:rPr>
      </w:r>
      <w:r w:rsidR="00CC2B9D" w:rsidRPr="007E5190">
        <w:rPr>
          <w:rFonts w:ascii="Times New Roman" w:hAnsi="Times New Roman" w:cs="Times New Roman"/>
          <w:color w:val="4472C4" w:themeColor="accent1"/>
        </w:rPr>
        <w:fldChar w:fldCharType="separate"/>
      </w:r>
      <w:r w:rsidR="00CC2B9D" w:rsidRPr="007E5190">
        <w:rPr>
          <w:rFonts w:ascii="Times New Roman" w:hAnsi="Times New Roman" w:cs="Times New Roman"/>
          <w:color w:val="4472C4" w:themeColor="accent1"/>
        </w:rPr>
        <w:t xml:space="preserve">Table </w:t>
      </w:r>
      <w:r w:rsidR="00CC2B9D" w:rsidRPr="007E5190">
        <w:rPr>
          <w:rFonts w:ascii="Times New Roman" w:hAnsi="Times New Roman" w:cs="Times New Roman"/>
          <w:noProof/>
          <w:color w:val="4472C4" w:themeColor="accent1"/>
        </w:rPr>
        <w:t>8</w:t>
      </w:r>
      <w:r w:rsidR="00CC2B9D" w:rsidRPr="007E5190">
        <w:rPr>
          <w:rFonts w:ascii="Times New Roman" w:hAnsi="Times New Roman" w:cs="Times New Roman"/>
          <w:color w:val="4472C4" w:themeColor="accent1"/>
        </w:rPr>
        <w:fldChar w:fldCharType="end"/>
      </w:r>
      <w:r w:rsidR="00CC2B9D" w:rsidRPr="007E5190">
        <w:rPr>
          <w:rFonts w:ascii="Times New Roman" w:hAnsi="Times New Roman" w:cs="Times New Roman"/>
          <w:color w:val="4472C4" w:themeColor="accent1"/>
        </w:rPr>
        <w:t xml:space="preserve">), </w:t>
      </w:r>
      <w:r w:rsidR="00CC2B9D" w:rsidRPr="007E5190">
        <w:rPr>
          <w:rFonts w:ascii="Times New Roman" w:hAnsi="Times New Roman" w:cs="Times New Roman"/>
          <w:color w:val="0D0D0D" w:themeColor="text1" w:themeTint="F2"/>
        </w:rPr>
        <w:t xml:space="preserve">also possessed the largest HOMO-LUMO energy gap (7.25 eV, </w:t>
      </w:r>
      <w:r w:rsidR="00CC2B9D" w:rsidRPr="007E5190">
        <w:rPr>
          <w:rFonts w:ascii="Times New Roman" w:hAnsi="Times New Roman" w:cs="Times New Roman"/>
          <w:color w:val="4472C4" w:themeColor="accent1"/>
        </w:rPr>
        <w:fldChar w:fldCharType="begin"/>
      </w:r>
      <w:r w:rsidR="00CC2B9D" w:rsidRPr="007E5190">
        <w:rPr>
          <w:rFonts w:ascii="Times New Roman" w:hAnsi="Times New Roman" w:cs="Times New Roman"/>
          <w:color w:val="4472C4" w:themeColor="accent1"/>
        </w:rPr>
        <w:instrText xml:space="preserve"> REF _Ref213082403 \h </w:instrText>
      </w:r>
      <w:r w:rsidR="00F25C91" w:rsidRPr="007E5190">
        <w:rPr>
          <w:rFonts w:ascii="Times New Roman" w:hAnsi="Times New Roman" w:cs="Times New Roman"/>
          <w:color w:val="4472C4" w:themeColor="accent1"/>
        </w:rPr>
        <w:instrText xml:space="preserve"> \* MERGEFORMAT </w:instrText>
      </w:r>
      <w:r w:rsidR="00CC2B9D" w:rsidRPr="007E5190">
        <w:rPr>
          <w:rFonts w:ascii="Times New Roman" w:hAnsi="Times New Roman" w:cs="Times New Roman"/>
          <w:color w:val="4472C4" w:themeColor="accent1"/>
        </w:rPr>
      </w:r>
      <w:r w:rsidR="00CC2B9D" w:rsidRPr="007E5190">
        <w:rPr>
          <w:rFonts w:ascii="Times New Roman" w:hAnsi="Times New Roman" w:cs="Times New Roman"/>
          <w:color w:val="4472C4" w:themeColor="accent1"/>
        </w:rPr>
        <w:fldChar w:fldCharType="separate"/>
      </w:r>
      <w:r w:rsidR="00CC2B9D" w:rsidRPr="007E5190">
        <w:rPr>
          <w:rFonts w:ascii="Times New Roman" w:hAnsi="Times New Roman" w:cs="Times New Roman"/>
          <w:color w:val="4472C4" w:themeColor="accent1"/>
        </w:rPr>
        <w:t xml:space="preserve">Table </w:t>
      </w:r>
      <w:r w:rsidR="00CC2B9D" w:rsidRPr="007E5190">
        <w:rPr>
          <w:rFonts w:ascii="Times New Roman" w:hAnsi="Times New Roman" w:cs="Times New Roman"/>
          <w:noProof/>
          <w:color w:val="4472C4" w:themeColor="accent1"/>
        </w:rPr>
        <w:t>9</w:t>
      </w:r>
      <w:r w:rsidR="00CC2B9D" w:rsidRPr="007E5190">
        <w:rPr>
          <w:rFonts w:ascii="Times New Roman" w:hAnsi="Times New Roman" w:cs="Times New Roman"/>
          <w:color w:val="4472C4" w:themeColor="accent1"/>
        </w:rPr>
        <w:fldChar w:fldCharType="end"/>
      </w:r>
      <w:r w:rsidR="00CC2B9D" w:rsidRPr="007E5190">
        <w:rPr>
          <w:rFonts w:ascii="Times New Roman" w:hAnsi="Times New Roman" w:cs="Times New Roman"/>
        </w:rPr>
        <w:t>)</w:t>
      </w:r>
      <w:r w:rsidRPr="007E5190">
        <w:rPr>
          <w:rFonts w:ascii="Times New Roman" w:hAnsi="Times New Roman" w:cs="Times New Roman"/>
        </w:rPr>
        <w:t xml:space="preserve">, </w:t>
      </w:r>
      <w:r w:rsidRPr="007E5190">
        <w:rPr>
          <w:rFonts w:ascii="Times New Roman" w:hAnsi="Times New Roman" w:cs="Times New Roman"/>
          <w:color w:val="0D0D0D" w:themeColor="text1" w:themeTint="F2"/>
        </w:rPr>
        <w:t xml:space="preserve">indicating it is the most stable and least chemically reactive. Conversely, the Hederagenin analogue (our top MM/GBSA binder) and the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had the two smallest energy gaps (4.92 eV and 4.94 eV, respectively</w:t>
      </w:r>
      <w:r w:rsidR="00CC2B9D" w:rsidRPr="007E5190">
        <w:rPr>
          <w:rFonts w:ascii="Times New Roman" w:hAnsi="Times New Roman" w:cs="Times New Roman"/>
          <w:color w:val="0D0D0D" w:themeColor="text1" w:themeTint="F2"/>
        </w:rPr>
        <w:t xml:space="preserve">, </w:t>
      </w:r>
      <w:r w:rsidR="00CC2B9D" w:rsidRPr="007E5190">
        <w:rPr>
          <w:rFonts w:ascii="Times New Roman" w:hAnsi="Times New Roman" w:cs="Times New Roman"/>
          <w:color w:val="4472C4" w:themeColor="accent1"/>
        </w:rPr>
        <w:fldChar w:fldCharType="begin"/>
      </w:r>
      <w:r w:rsidR="00CC2B9D" w:rsidRPr="007E5190">
        <w:rPr>
          <w:rFonts w:ascii="Times New Roman" w:hAnsi="Times New Roman" w:cs="Times New Roman"/>
          <w:color w:val="4472C4" w:themeColor="accent1"/>
        </w:rPr>
        <w:instrText xml:space="preserve"> REF _Ref213082403 \h </w:instrText>
      </w:r>
      <w:r w:rsidR="00F25C91" w:rsidRPr="007E5190">
        <w:rPr>
          <w:rFonts w:ascii="Times New Roman" w:hAnsi="Times New Roman" w:cs="Times New Roman"/>
          <w:color w:val="4472C4" w:themeColor="accent1"/>
        </w:rPr>
        <w:instrText xml:space="preserve"> \* MERGEFORMAT </w:instrText>
      </w:r>
      <w:r w:rsidR="00CC2B9D" w:rsidRPr="007E5190">
        <w:rPr>
          <w:rFonts w:ascii="Times New Roman" w:hAnsi="Times New Roman" w:cs="Times New Roman"/>
          <w:color w:val="4472C4" w:themeColor="accent1"/>
        </w:rPr>
      </w:r>
      <w:r w:rsidR="00CC2B9D" w:rsidRPr="007E5190">
        <w:rPr>
          <w:rFonts w:ascii="Times New Roman" w:hAnsi="Times New Roman" w:cs="Times New Roman"/>
          <w:color w:val="4472C4" w:themeColor="accent1"/>
        </w:rPr>
        <w:fldChar w:fldCharType="separate"/>
      </w:r>
      <w:r w:rsidR="00CC2B9D" w:rsidRPr="007E5190">
        <w:rPr>
          <w:rFonts w:ascii="Times New Roman" w:hAnsi="Times New Roman" w:cs="Times New Roman"/>
          <w:color w:val="4472C4" w:themeColor="accent1"/>
        </w:rPr>
        <w:t xml:space="preserve">Table </w:t>
      </w:r>
      <w:r w:rsidR="00CC2B9D" w:rsidRPr="007E5190">
        <w:rPr>
          <w:rFonts w:ascii="Times New Roman" w:hAnsi="Times New Roman" w:cs="Times New Roman"/>
          <w:noProof/>
          <w:color w:val="4472C4" w:themeColor="accent1"/>
        </w:rPr>
        <w:t>9</w:t>
      </w:r>
      <w:r w:rsidR="00CC2B9D"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signifying they are the most chemically reactive. This high reactivity explains their superior binding potential. The Oleanolic Acid control was intermediate in both its binding energy (-10.88 kcal/mol</w:t>
      </w:r>
      <w:r w:rsidR="00CC2B9D" w:rsidRPr="007E5190">
        <w:rPr>
          <w:rFonts w:ascii="Times New Roman" w:hAnsi="Times New Roman" w:cs="Times New Roman"/>
          <w:color w:val="0D0D0D" w:themeColor="text1" w:themeTint="F2"/>
        </w:rPr>
        <w:t xml:space="preserve">, </w:t>
      </w:r>
      <w:r w:rsidR="00CC2B9D" w:rsidRPr="007E5190">
        <w:rPr>
          <w:rFonts w:ascii="Times New Roman" w:hAnsi="Times New Roman" w:cs="Times New Roman"/>
          <w:color w:val="4472C4" w:themeColor="accent1"/>
        </w:rPr>
        <w:fldChar w:fldCharType="begin"/>
      </w:r>
      <w:r w:rsidR="00CC2B9D" w:rsidRPr="007E5190">
        <w:rPr>
          <w:rFonts w:ascii="Times New Roman" w:hAnsi="Times New Roman" w:cs="Times New Roman"/>
          <w:color w:val="4472C4" w:themeColor="accent1"/>
        </w:rPr>
        <w:instrText xml:space="preserve"> REF _Ref213082033 \h </w:instrText>
      </w:r>
      <w:r w:rsidR="00F25C91" w:rsidRPr="007E5190">
        <w:rPr>
          <w:rFonts w:ascii="Times New Roman" w:hAnsi="Times New Roman" w:cs="Times New Roman"/>
          <w:color w:val="4472C4" w:themeColor="accent1"/>
        </w:rPr>
        <w:instrText xml:space="preserve"> \* MERGEFORMAT </w:instrText>
      </w:r>
      <w:r w:rsidR="00CC2B9D" w:rsidRPr="007E5190">
        <w:rPr>
          <w:rFonts w:ascii="Times New Roman" w:hAnsi="Times New Roman" w:cs="Times New Roman"/>
          <w:color w:val="4472C4" w:themeColor="accent1"/>
        </w:rPr>
      </w:r>
      <w:r w:rsidR="00CC2B9D" w:rsidRPr="007E5190">
        <w:rPr>
          <w:rFonts w:ascii="Times New Roman" w:hAnsi="Times New Roman" w:cs="Times New Roman"/>
          <w:color w:val="4472C4" w:themeColor="accent1"/>
        </w:rPr>
        <w:fldChar w:fldCharType="separate"/>
      </w:r>
      <w:r w:rsidR="00CC2B9D" w:rsidRPr="007E5190">
        <w:rPr>
          <w:rFonts w:ascii="Times New Roman" w:hAnsi="Times New Roman" w:cs="Times New Roman"/>
          <w:color w:val="4472C4" w:themeColor="accent1"/>
        </w:rPr>
        <w:t xml:space="preserve">Table </w:t>
      </w:r>
      <w:r w:rsidR="00CC2B9D" w:rsidRPr="007E5190">
        <w:rPr>
          <w:rFonts w:ascii="Times New Roman" w:hAnsi="Times New Roman" w:cs="Times New Roman"/>
          <w:noProof/>
          <w:color w:val="4472C4" w:themeColor="accent1"/>
        </w:rPr>
        <w:t>8</w:t>
      </w:r>
      <w:r w:rsidR="00CC2B9D"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and its energy gap (5.61 eV</w:t>
      </w:r>
      <w:r w:rsidR="00CC2B9D" w:rsidRPr="007E5190">
        <w:rPr>
          <w:rFonts w:ascii="Times New Roman" w:hAnsi="Times New Roman" w:cs="Times New Roman"/>
          <w:color w:val="0D0D0D" w:themeColor="text1" w:themeTint="F2"/>
        </w:rPr>
        <w:t xml:space="preserve">, </w:t>
      </w:r>
      <w:r w:rsidR="00CC2B9D" w:rsidRPr="007E5190">
        <w:rPr>
          <w:rFonts w:ascii="Times New Roman" w:hAnsi="Times New Roman" w:cs="Times New Roman"/>
          <w:color w:val="4472C4" w:themeColor="accent1"/>
        </w:rPr>
        <w:fldChar w:fldCharType="begin"/>
      </w:r>
      <w:r w:rsidR="00CC2B9D" w:rsidRPr="007E5190">
        <w:rPr>
          <w:rFonts w:ascii="Times New Roman" w:hAnsi="Times New Roman" w:cs="Times New Roman"/>
          <w:color w:val="4472C4" w:themeColor="accent1"/>
        </w:rPr>
        <w:instrText xml:space="preserve"> REF _Ref213082403 \h </w:instrText>
      </w:r>
      <w:r w:rsidR="00F25C91" w:rsidRPr="007E5190">
        <w:rPr>
          <w:rFonts w:ascii="Times New Roman" w:hAnsi="Times New Roman" w:cs="Times New Roman"/>
          <w:color w:val="4472C4" w:themeColor="accent1"/>
        </w:rPr>
        <w:instrText xml:space="preserve"> \* MERGEFORMAT </w:instrText>
      </w:r>
      <w:r w:rsidR="00CC2B9D" w:rsidRPr="007E5190">
        <w:rPr>
          <w:rFonts w:ascii="Times New Roman" w:hAnsi="Times New Roman" w:cs="Times New Roman"/>
          <w:color w:val="4472C4" w:themeColor="accent1"/>
        </w:rPr>
      </w:r>
      <w:r w:rsidR="00CC2B9D" w:rsidRPr="007E5190">
        <w:rPr>
          <w:rFonts w:ascii="Times New Roman" w:hAnsi="Times New Roman" w:cs="Times New Roman"/>
          <w:color w:val="4472C4" w:themeColor="accent1"/>
        </w:rPr>
        <w:fldChar w:fldCharType="separate"/>
      </w:r>
      <w:r w:rsidR="00CC2B9D" w:rsidRPr="007E5190">
        <w:rPr>
          <w:rFonts w:ascii="Times New Roman" w:hAnsi="Times New Roman" w:cs="Times New Roman"/>
          <w:color w:val="4472C4" w:themeColor="accent1"/>
        </w:rPr>
        <w:t xml:space="preserve">Table </w:t>
      </w:r>
      <w:r w:rsidR="00CC2B9D" w:rsidRPr="007E5190">
        <w:rPr>
          <w:rFonts w:ascii="Times New Roman" w:hAnsi="Times New Roman" w:cs="Times New Roman"/>
          <w:noProof/>
          <w:color w:val="4472C4" w:themeColor="accent1"/>
        </w:rPr>
        <w:t>9</w:t>
      </w:r>
      <w:r w:rsidR="00CC2B9D" w:rsidRPr="007E5190">
        <w:rPr>
          <w:rFonts w:ascii="Times New Roman" w:hAnsi="Times New Roman" w:cs="Times New Roman"/>
          <w:color w:val="4472C4" w:themeColor="accent1"/>
        </w:rPr>
        <w:fldChar w:fldCharType="end"/>
      </w:r>
      <w:r w:rsidRPr="007E5190">
        <w:rPr>
          <w:rFonts w:ascii="Times New Roman" w:hAnsi="Times New Roman" w:cs="Times New Roman"/>
          <w:color w:val="4472C4" w:themeColor="accent1"/>
        </w:rPr>
        <w:t>).</w:t>
      </w:r>
    </w:p>
    <w:p w14:paraId="697AB28F" w14:textId="4A3B97A3" w:rsidR="00FF347F" w:rsidRPr="007E5190" w:rsidRDefault="00FF347F" w:rsidP="00D75BEE">
      <w:pPr>
        <w:jc w:val="both"/>
        <w:rPr>
          <w:rFonts w:ascii="Times New Roman" w:hAnsi="Times New Roman" w:cs="Times New Roman"/>
        </w:rPr>
      </w:pPr>
      <w:r w:rsidRPr="007E5190">
        <w:rPr>
          <w:rFonts w:ascii="Times New Roman" w:hAnsi="Times New Roman" w:cs="Times New Roman"/>
        </w:rPr>
        <w:t xml:space="preserve">As visualized in </w:t>
      </w:r>
      <w:r w:rsidR="005D2C2F" w:rsidRPr="007E5190">
        <w:rPr>
          <w:rFonts w:ascii="Times New Roman" w:hAnsi="Times New Roman" w:cs="Times New Roman"/>
          <w:color w:val="4472C4" w:themeColor="accent1"/>
        </w:rPr>
        <w:fldChar w:fldCharType="begin"/>
      </w:r>
      <w:r w:rsidR="005D2C2F" w:rsidRPr="007E5190">
        <w:rPr>
          <w:rFonts w:ascii="Times New Roman" w:hAnsi="Times New Roman" w:cs="Times New Roman"/>
          <w:color w:val="4472C4" w:themeColor="accent1"/>
        </w:rPr>
        <w:instrText xml:space="preserve"> REF _Ref213105857 \h  \* MERGEFORMAT </w:instrText>
      </w:r>
      <w:r w:rsidR="005D2C2F" w:rsidRPr="007E5190">
        <w:rPr>
          <w:rFonts w:ascii="Times New Roman" w:hAnsi="Times New Roman" w:cs="Times New Roman"/>
          <w:color w:val="4472C4" w:themeColor="accent1"/>
        </w:rPr>
      </w:r>
      <w:r w:rsidR="005D2C2F" w:rsidRPr="007E5190">
        <w:rPr>
          <w:rFonts w:ascii="Times New Roman" w:hAnsi="Times New Roman" w:cs="Times New Roman"/>
          <w:color w:val="4472C4" w:themeColor="accent1"/>
        </w:rPr>
        <w:fldChar w:fldCharType="separate"/>
      </w:r>
      <w:r w:rsidR="005D2C2F" w:rsidRPr="007E5190">
        <w:rPr>
          <w:rFonts w:ascii="Times New Roman" w:hAnsi="Times New Roman" w:cs="Times New Roman"/>
          <w:color w:val="4472C4" w:themeColor="accent1"/>
          <w:szCs w:val="20"/>
        </w:rPr>
        <w:t xml:space="preserve">Figure </w:t>
      </w:r>
      <w:r w:rsidR="005D2C2F" w:rsidRPr="007E5190">
        <w:rPr>
          <w:rFonts w:ascii="Times New Roman" w:hAnsi="Times New Roman" w:cs="Times New Roman"/>
          <w:noProof/>
          <w:color w:val="4472C4" w:themeColor="accent1"/>
          <w:szCs w:val="20"/>
        </w:rPr>
        <w:t>14</w:t>
      </w:r>
      <w:r w:rsidR="005D2C2F" w:rsidRPr="007E5190">
        <w:rPr>
          <w:rFonts w:ascii="Times New Roman" w:hAnsi="Times New Roman" w:cs="Times New Roman"/>
          <w:color w:val="4472C4" w:themeColor="accent1"/>
        </w:rPr>
        <w:fldChar w:fldCharType="end"/>
      </w:r>
      <w:r w:rsidRPr="007E5190">
        <w:rPr>
          <w:rFonts w:ascii="Times New Roman" w:hAnsi="Times New Roman" w:cs="Times New Roman"/>
        </w:rPr>
        <w:t>, the spatial distribution of the FMOs provides further insight into this reactivity. The Hederagenin analogue (</w:t>
      </w:r>
      <w:r w:rsidR="005D2C2F" w:rsidRPr="007E5190">
        <w:rPr>
          <w:rFonts w:ascii="Times New Roman" w:hAnsi="Times New Roman" w:cs="Times New Roman"/>
          <w:color w:val="4472C4" w:themeColor="accent1"/>
        </w:rPr>
        <w:fldChar w:fldCharType="begin"/>
      </w:r>
      <w:r w:rsidR="005D2C2F" w:rsidRPr="007E5190">
        <w:rPr>
          <w:rFonts w:ascii="Times New Roman" w:hAnsi="Times New Roman" w:cs="Times New Roman"/>
          <w:color w:val="4472C4" w:themeColor="accent1"/>
        </w:rPr>
        <w:instrText xml:space="preserve"> REF _Ref213105857 \h  \* MERGEFORMAT </w:instrText>
      </w:r>
      <w:r w:rsidR="005D2C2F" w:rsidRPr="007E5190">
        <w:rPr>
          <w:rFonts w:ascii="Times New Roman" w:hAnsi="Times New Roman" w:cs="Times New Roman"/>
          <w:color w:val="4472C4" w:themeColor="accent1"/>
        </w:rPr>
      </w:r>
      <w:r w:rsidR="005D2C2F" w:rsidRPr="007E5190">
        <w:rPr>
          <w:rFonts w:ascii="Times New Roman" w:hAnsi="Times New Roman" w:cs="Times New Roman"/>
          <w:color w:val="4472C4" w:themeColor="accent1"/>
        </w:rPr>
        <w:fldChar w:fldCharType="separate"/>
      </w:r>
      <w:r w:rsidR="005D2C2F" w:rsidRPr="007E5190">
        <w:rPr>
          <w:rFonts w:ascii="Times New Roman" w:hAnsi="Times New Roman" w:cs="Times New Roman"/>
          <w:color w:val="4472C4" w:themeColor="accent1"/>
          <w:szCs w:val="20"/>
        </w:rPr>
        <w:t xml:space="preserve">Figure </w:t>
      </w:r>
      <w:r w:rsidR="005D2C2F" w:rsidRPr="007E5190">
        <w:rPr>
          <w:rFonts w:ascii="Times New Roman" w:hAnsi="Times New Roman" w:cs="Times New Roman"/>
          <w:noProof/>
          <w:color w:val="4472C4" w:themeColor="accent1"/>
          <w:szCs w:val="20"/>
        </w:rPr>
        <w:t>14</w:t>
      </w:r>
      <w:r w:rsidR="005D2C2F" w:rsidRPr="007E5190">
        <w:rPr>
          <w:rFonts w:ascii="Times New Roman" w:hAnsi="Times New Roman" w:cs="Times New Roman"/>
          <w:color w:val="4472C4" w:themeColor="accent1"/>
        </w:rPr>
        <w:fldChar w:fldCharType="end"/>
      </w:r>
      <w:r w:rsidR="005B3300" w:rsidRPr="007E5190">
        <w:rPr>
          <w:rFonts w:ascii="Times New Roman" w:hAnsi="Times New Roman" w:cs="Times New Roman"/>
          <w:color w:val="4472C4" w:themeColor="accent1"/>
        </w:rPr>
        <w:t>-B</w:t>
      </w:r>
      <w:r w:rsidRPr="007E5190">
        <w:rPr>
          <w:rFonts w:ascii="Times New Roman" w:hAnsi="Times New Roman" w:cs="Times New Roman"/>
        </w:rPr>
        <w:t>) exhibits widespread orbital delocalization over its ring system, facilitating charge transfer interactions with the protein active site. Conversely, the Lupeol analogue (</w:t>
      </w:r>
      <w:r w:rsidR="005D2C2F" w:rsidRPr="007E5190">
        <w:rPr>
          <w:rFonts w:ascii="Times New Roman" w:hAnsi="Times New Roman" w:cs="Times New Roman"/>
          <w:color w:val="4472C4" w:themeColor="accent1"/>
        </w:rPr>
        <w:fldChar w:fldCharType="begin"/>
      </w:r>
      <w:r w:rsidR="005D2C2F" w:rsidRPr="007E5190">
        <w:rPr>
          <w:rFonts w:ascii="Times New Roman" w:hAnsi="Times New Roman" w:cs="Times New Roman"/>
          <w:color w:val="4472C4" w:themeColor="accent1"/>
        </w:rPr>
        <w:instrText xml:space="preserve"> REF _Ref213105857 \h  \* MERGEFORMAT </w:instrText>
      </w:r>
      <w:r w:rsidR="005D2C2F" w:rsidRPr="007E5190">
        <w:rPr>
          <w:rFonts w:ascii="Times New Roman" w:hAnsi="Times New Roman" w:cs="Times New Roman"/>
          <w:color w:val="4472C4" w:themeColor="accent1"/>
        </w:rPr>
      </w:r>
      <w:r w:rsidR="005D2C2F" w:rsidRPr="007E5190">
        <w:rPr>
          <w:rFonts w:ascii="Times New Roman" w:hAnsi="Times New Roman" w:cs="Times New Roman"/>
          <w:color w:val="4472C4" w:themeColor="accent1"/>
        </w:rPr>
        <w:fldChar w:fldCharType="separate"/>
      </w:r>
      <w:r w:rsidR="005D2C2F" w:rsidRPr="007E5190">
        <w:rPr>
          <w:rFonts w:ascii="Times New Roman" w:hAnsi="Times New Roman" w:cs="Times New Roman"/>
          <w:color w:val="4472C4" w:themeColor="accent1"/>
          <w:szCs w:val="20"/>
        </w:rPr>
        <w:t xml:space="preserve">Figure </w:t>
      </w:r>
      <w:r w:rsidR="005D2C2F" w:rsidRPr="007E5190">
        <w:rPr>
          <w:rFonts w:ascii="Times New Roman" w:hAnsi="Times New Roman" w:cs="Times New Roman"/>
          <w:noProof/>
          <w:color w:val="4472C4" w:themeColor="accent1"/>
          <w:szCs w:val="20"/>
        </w:rPr>
        <w:t>14</w:t>
      </w:r>
      <w:r w:rsidR="005D2C2F" w:rsidRPr="007E5190">
        <w:rPr>
          <w:rFonts w:ascii="Times New Roman" w:hAnsi="Times New Roman" w:cs="Times New Roman"/>
          <w:color w:val="4472C4" w:themeColor="accent1"/>
        </w:rPr>
        <w:fldChar w:fldCharType="end"/>
      </w:r>
      <w:r w:rsidR="009F0335" w:rsidRPr="007E5190">
        <w:rPr>
          <w:rFonts w:ascii="Times New Roman" w:hAnsi="Times New Roman" w:cs="Times New Roman"/>
          <w:color w:val="4472C4" w:themeColor="accent1"/>
        </w:rPr>
        <w:t>-C</w:t>
      </w:r>
      <w:r w:rsidRPr="007E5190">
        <w:rPr>
          <w:rFonts w:ascii="Times New Roman" w:hAnsi="Times New Roman" w:cs="Times New Roman"/>
        </w:rPr>
        <w:t xml:space="preserve">) displays highly localized orbital lobes, which </w:t>
      </w:r>
      <w:proofErr w:type="gramStart"/>
      <w:r w:rsidRPr="007E5190">
        <w:rPr>
          <w:rFonts w:ascii="Times New Roman" w:hAnsi="Times New Roman" w:cs="Times New Roman"/>
        </w:rPr>
        <w:t>correlates</w:t>
      </w:r>
      <w:proofErr w:type="gramEnd"/>
      <w:r w:rsidRPr="007E5190">
        <w:rPr>
          <w:rFonts w:ascii="Times New Roman" w:hAnsi="Times New Roman" w:cs="Times New Roman"/>
        </w:rPr>
        <w:t xml:space="preserve"> with its large energy gap and poor participation in electrostatic binding events.</w:t>
      </w:r>
    </w:p>
    <w:p w14:paraId="3720A9F3" w14:textId="77777777" w:rsidR="00066790" w:rsidRPr="007E5190" w:rsidRDefault="00066790" w:rsidP="00066790">
      <w:pPr>
        <w:pStyle w:val="Heading2"/>
        <w:rPr>
          <w:rFonts w:cs="Times New Roman"/>
        </w:rPr>
      </w:pPr>
      <w:r w:rsidRPr="007E5190">
        <w:rPr>
          <w:rFonts w:cs="Times New Roman"/>
        </w:rPr>
        <w:t>Molecular Electrostatic Potential (MEP) Analysis</w:t>
      </w:r>
    </w:p>
    <w:p w14:paraId="6E9B671B" w14:textId="0F08DC63" w:rsidR="0021770B" w:rsidRPr="007E5190" w:rsidRDefault="0021770B"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To visualize the reactive sites and charge distribution of the lead compounds, Molecular Electrostatic Potential (MEP) surfaces were generated. In alignment with recent computational protocols for phytochemical bioactivity </w:t>
      </w:r>
      <w:r w:rsidR="009C51BD" w:rsidRPr="007E5190">
        <w:rPr>
          <w:rFonts w:ascii="Times New Roman" w:hAnsi="Times New Roman" w:cs="Times New Roman"/>
          <w:color w:val="0D0D0D" w:themeColor="text1" w:themeTint="F2"/>
        </w:rPr>
        <w:fldChar w:fldCharType="begin"/>
      </w:r>
      <w:r w:rsidR="002218FF" w:rsidRPr="007E5190">
        <w:rPr>
          <w:rFonts w:ascii="Times New Roman" w:hAnsi="Times New Roman" w:cs="Times New Roman"/>
          <w:color w:val="0D0D0D" w:themeColor="text1" w:themeTint="F2"/>
        </w:rPr>
        <w:instrText xml:space="preserve"> ADDIN ZOTERO_ITEM CSL_CITATION {"citationID":"NqYDgKLo","properties":{"formattedCitation":"[56,57]","plainCitation":"[56,57]","noteIndex":0},"citationItems":[{"id":237,"uris":["http://zotero.org/users/local/GoHQ98fS/items/985QEIBY"],"itemData":{"id":237,"type":"article-journal","container-title":"Applied Biochemistry and Biotechnology","DOI":"10.1007/s12010-024-05167-z","ISSN":"0273-2289, 1559-0291","issue":"4","journalAbbreviation":"Appl Biochem Biotechnol","language":"en","page":"2639-2666","source":"DOI.org (Crossref)","title":"Phytochemical and Antioxidant Analysis of Bioactive Compound Extract from Nelumbo nucifera against Cancer Proteins: In Silico Spectroscopic Approach","title-short":"Phytochemical and Antioxidant Analysis of Bioactive Compound Extract from Nelumbo nucifera against Cancer Proteins","URL":"https://link.springer.com/10.1007/s12010-024-05167-z","volume":"197","author":[{"family":"Vijayan","given":"Renganathan"},{"family":"Sivakumar","given":"Ponnurengam Malliappan"},{"family":"Hazir","given":"Selcuk"},{"family":"Kumar","given":"A. Ram"},{"family":"Raja","given":"Ramalingam Karthik"}],"accessed":{"date-parts":[["2025",11,20]]},"issued":{"date-parts":[["2025",4]]}}},{"id":239,"uris":["http://zotero.org/users/local/GoHQ98fS/items/SA9ALCLY"],"itemData":{"id":239,"type":"article-journal","container-title":"Journal of Molecular Structure","DOI":"10.1016/j.molstruc.2025.143156","ISSN":"00222860","journalAbbreviation":"Journal of Molecular Structure","language":"en","page":"143156","source":"DOI.org (Crossref)","title":"Experimental and theoretical investigations on antiproliferative compound nootkatone’s vibrational characteristics, solvent effects of electronic properties, topological insights, Hirshfeld surface, donor-acceptor insights, ADME, and molecular docking against SMAD proteins","URL":"https://linkinghub.elsevier.com/retrieve/pii/S0022286025018277","volume":"1346","author":[{"family":"Ram Kumar","given":"A."},{"family":"Selvaraj","given":"S."},{"family":"Vickram","given":"A.S."},{"family":"Jenifer","given":"J."},{"family":"Karthik Raja","given":"R."}],"accessed":{"date-parts":[["2025",11,20]]},"issued":{"date-parts":[["2025",12]]}}}],"schema":"https://github.com/citation-style-language/schema/raw/master/csl-citation.json"} </w:instrText>
      </w:r>
      <w:r w:rsidR="009C51BD" w:rsidRPr="007E5190">
        <w:rPr>
          <w:rFonts w:ascii="Times New Roman" w:hAnsi="Times New Roman" w:cs="Times New Roman"/>
          <w:color w:val="0D0D0D" w:themeColor="text1" w:themeTint="F2"/>
        </w:rPr>
        <w:fldChar w:fldCharType="separate"/>
      </w:r>
      <w:r w:rsidR="002218FF" w:rsidRPr="007E5190">
        <w:rPr>
          <w:rFonts w:ascii="Times New Roman" w:hAnsi="Times New Roman" w:cs="Times New Roman"/>
        </w:rPr>
        <w:t>[56,57]</w:t>
      </w:r>
      <w:r w:rsidR="009C51BD" w:rsidRPr="007E5190">
        <w:rPr>
          <w:rFonts w:ascii="Times New Roman" w:hAnsi="Times New Roman" w:cs="Times New Roman"/>
          <w:color w:val="0D0D0D" w:themeColor="text1" w:themeTint="F2"/>
        </w:rPr>
        <w:fldChar w:fldCharType="end"/>
      </w:r>
      <w:r w:rsidR="009C51BD" w:rsidRPr="007E5190">
        <w:rPr>
          <w:rFonts w:ascii="Times New Roman" w:hAnsi="Times New Roman" w:cs="Times New Roman"/>
          <w:color w:val="0D0D0D" w:themeColor="text1" w:themeTint="F2"/>
        </w:rPr>
        <w:t xml:space="preserve">, </w:t>
      </w:r>
      <w:r w:rsidR="00F22FC4" w:rsidRPr="007E5190">
        <w:rPr>
          <w:rFonts w:ascii="Times New Roman" w:hAnsi="Times New Roman" w:cs="Times New Roman"/>
          <w:color w:val="0D0D0D" w:themeColor="text1" w:themeTint="F2"/>
        </w:rPr>
        <w:t>the MEP surfaces were mapped using a colorimetric scale to identify sites for non-covalent interactions: red represents electron-rich (negative/nucleophilic) regions, while blue represents electron-deficient (positive/electrophilic) regions.</w:t>
      </w:r>
    </w:p>
    <w:p w14:paraId="5EF65D1D" w14:textId="4F690E97" w:rsidR="00D02B9F" w:rsidRPr="007E5190" w:rsidRDefault="00F22FC4" w:rsidP="00D02B9F">
      <w:pPr>
        <w:jc w:val="both"/>
        <w:rPr>
          <w:rFonts w:ascii="Times New Roman" w:hAnsi="Times New Roman" w:cs="Times New Roman"/>
        </w:rPr>
      </w:pPr>
      <w:r w:rsidRPr="007E5190">
        <w:rPr>
          <w:rFonts w:ascii="Times New Roman" w:hAnsi="Times New Roman" w:cs="Times New Roman"/>
          <w:color w:val="0D0D0D" w:themeColor="text1" w:themeTint="F2"/>
        </w:rPr>
        <w:lastRenderedPageBreak/>
        <w:t>As shown in</w:t>
      </w:r>
      <w:r w:rsidR="00794D96" w:rsidRPr="007E5190">
        <w:rPr>
          <w:rFonts w:ascii="Times New Roman" w:hAnsi="Times New Roman" w:cs="Times New Roman"/>
          <w:color w:val="0D0D0D" w:themeColor="text1" w:themeTint="F2"/>
        </w:rPr>
        <w:t xml:space="preserve"> </w:t>
      </w:r>
      <w:r w:rsidR="00A25405" w:rsidRPr="007E5190">
        <w:rPr>
          <w:rFonts w:ascii="Times New Roman" w:hAnsi="Times New Roman" w:cs="Times New Roman"/>
          <w:color w:val="4472C4" w:themeColor="accent1"/>
        </w:rPr>
        <w:fldChar w:fldCharType="begin"/>
      </w:r>
      <w:r w:rsidR="00A25405" w:rsidRPr="007E5190">
        <w:rPr>
          <w:rFonts w:ascii="Times New Roman" w:hAnsi="Times New Roman" w:cs="Times New Roman"/>
          <w:color w:val="4472C4" w:themeColor="accent1"/>
        </w:rPr>
        <w:instrText xml:space="preserve"> REF _Ref213086499 \h </w:instrText>
      </w:r>
      <w:r w:rsidR="00F25C91" w:rsidRPr="007E5190">
        <w:rPr>
          <w:rFonts w:ascii="Times New Roman" w:hAnsi="Times New Roman" w:cs="Times New Roman"/>
          <w:color w:val="4472C4" w:themeColor="accent1"/>
        </w:rPr>
        <w:instrText xml:space="preserve"> \* MERGEFORMAT </w:instrText>
      </w:r>
      <w:r w:rsidR="00A25405" w:rsidRPr="007E5190">
        <w:rPr>
          <w:rFonts w:ascii="Times New Roman" w:hAnsi="Times New Roman" w:cs="Times New Roman"/>
          <w:color w:val="4472C4" w:themeColor="accent1"/>
        </w:rPr>
      </w:r>
      <w:r w:rsidR="00A25405" w:rsidRPr="007E5190">
        <w:rPr>
          <w:rFonts w:ascii="Times New Roman" w:hAnsi="Times New Roman" w:cs="Times New Roman"/>
          <w:color w:val="4472C4" w:themeColor="accent1"/>
        </w:rPr>
        <w:fldChar w:fldCharType="separate"/>
      </w:r>
      <w:r w:rsidR="00A25405" w:rsidRPr="007E5190">
        <w:rPr>
          <w:rFonts w:ascii="Times New Roman" w:hAnsi="Times New Roman" w:cs="Times New Roman"/>
          <w:color w:val="4472C4" w:themeColor="accent1"/>
        </w:rPr>
        <w:t xml:space="preserve">Figure </w:t>
      </w:r>
      <w:r w:rsidR="00A25405" w:rsidRPr="007E5190">
        <w:rPr>
          <w:rFonts w:ascii="Times New Roman" w:hAnsi="Times New Roman" w:cs="Times New Roman"/>
          <w:noProof/>
          <w:color w:val="4472C4" w:themeColor="accent1"/>
        </w:rPr>
        <w:t>1</w:t>
      </w:r>
      <w:r w:rsidR="00BD4226" w:rsidRPr="007E5190">
        <w:rPr>
          <w:rFonts w:ascii="Times New Roman" w:hAnsi="Times New Roman" w:cs="Times New Roman"/>
          <w:noProof/>
          <w:color w:val="4472C4" w:themeColor="accent1"/>
        </w:rPr>
        <w:t>5</w:t>
      </w:r>
      <w:r w:rsidR="00A25405"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w:t>
      </w:r>
      <w:r w:rsidR="00794D96" w:rsidRPr="007E5190">
        <w:rPr>
          <w:rFonts w:ascii="Times New Roman" w:hAnsi="Times New Roman" w:cs="Times New Roman"/>
          <w:color w:val="0D0D0D" w:themeColor="text1" w:themeTint="F2"/>
        </w:rPr>
        <w:t xml:space="preserve"> </w:t>
      </w:r>
      <w:r w:rsidR="00C97A14" w:rsidRPr="007E5190">
        <w:rPr>
          <w:rFonts w:ascii="Times New Roman" w:hAnsi="Times New Roman" w:cs="Times New Roman"/>
          <w:color w:val="0D0D0D" w:themeColor="text1" w:themeTint="F2"/>
        </w:rPr>
        <w:t xml:space="preserve">the MEP map of the Hederagenin analogue reveals distinct regions of high negative potential (red) concentrated around the oxygen atoms of the hydroxyl and carboxyl groups. These electron-rich regions serve as prime hydrogen bond acceptors. Crucially, this electronic profile exhibits a high degree of electrostatic complementarity with the </w:t>
      </w:r>
      <w:proofErr w:type="spellStart"/>
      <w:r w:rsidR="00C97A14" w:rsidRPr="007E5190">
        <w:rPr>
          <w:rFonts w:ascii="Times New Roman" w:hAnsi="Times New Roman" w:cs="Times New Roman"/>
          <w:color w:val="0D0D0D" w:themeColor="text1" w:themeTint="F2"/>
        </w:rPr>
        <w:t>InlH</w:t>
      </w:r>
      <w:proofErr w:type="spellEnd"/>
      <w:r w:rsidR="00C97A14" w:rsidRPr="007E5190">
        <w:rPr>
          <w:rFonts w:ascii="Times New Roman" w:hAnsi="Times New Roman" w:cs="Times New Roman"/>
          <w:color w:val="0D0D0D" w:themeColor="text1" w:themeTint="F2"/>
        </w:rPr>
        <w:t xml:space="preserve"> binding pocket identified in the docking and interaction analysis. Specifically, the electronegative (red) regions of the Hederagenin analogue are spatially aligned to interact with the positively charged ammonium group of Lys106 and the polar hydroxyl group of Thr150 within the active site (as detailed in </w:t>
      </w:r>
      <w:r w:rsidR="00C97A14" w:rsidRPr="007E5190">
        <w:rPr>
          <w:rFonts w:ascii="Times New Roman" w:hAnsi="Times New Roman" w:cs="Times New Roman"/>
          <w:color w:val="4472C4" w:themeColor="accent1"/>
        </w:rPr>
        <w:fldChar w:fldCharType="begin"/>
      </w:r>
      <w:r w:rsidR="00C97A14" w:rsidRPr="007E5190">
        <w:rPr>
          <w:rFonts w:ascii="Times New Roman" w:hAnsi="Times New Roman" w:cs="Times New Roman"/>
          <w:color w:val="4472C4" w:themeColor="accent1"/>
        </w:rPr>
        <w:instrText xml:space="preserve"> REF _Ref213060920 \h </w:instrText>
      </w:r>
      <w:r w:rsidR="00D02B9F" w:rsidRPr="007E5190">
        <w:rPr>
          <w:rFonts w:ascii="Times New Roman" w:hAnsi="Times New Roman" w:cs="Times New Roman"/>
          <w:color w:val="4472C4" w:themeColor="accent1"/>
        </w:rPr>
        <w:instrText xml:space="preserve"> \* MERGEFORMAT </w:instrText>
      </w:r>
      <w:r w:rsidR="00C97A14" w:rsidRPr="007E5190">
        <w:rPr>
          <w:rFonts w:ascii="Times New Roman" w:hAnsi="Times New Roman" w:cs="Times New Roman"/>
          <w:color w:val="4472C4" w:themeColor="accent1"/>
        </w:rPr>
      </w:r>
      <w:r w:rsidR="00C97A14" w:rsidRPr="007E5190">
        <w:rPr>
          <w:rFonts w:ascii="Times New Roman" w:hAnsi="Times New Roman" w:cs="Times New Roman"/>
          <w:color w:val="4472C4" w:themeColor="accent1"/>
        </w:rPr>
        <w:fldChar w:fldCharType="separate"/>
      </w:r>
      <w:r w:rsidR="00C97A14" w:rsidRPr="007E5190">
        <w:rPr>
          <w:rFonts w:ascii="Times New Roman" w:hAnsi="Times New Roman" w:cs="Times New Roman"/>
          <w:color w:val="4472C4" w:themeColor="accent1"/>
        </w:rPr>
        <w:t xml:space="preserve">Table </w:t>
      </w:r>
      <w:r w:rsidR="00C97A14" w:rsidRPr="007E5190">
        <w:rPr>
          <w:rFonts w:ascii="Times New Roman" w:hAnsi="Times New Roman" w:cs="Times New Roman"/>
          <w:noProof/>
          <w:color w:val="4472C4" w:themeColor="accent1"/>
        </w:rPr>
        <w:t>5</w:t>
      </w:r>
      <w:r w:rsidR="00C97A14" w:rsidRPr="007E5190">
        <w:rPr>
          <w:rFonts w:ascii="Times New Roman" w:hAnsi="Times New Roman" w:cs="Times New Roman"/>
          <w:color w:val="4472C4" w:themeColor="accent1"/>
        </w:rPr>
        <w:fldChar w:fldCharType="end"/>
      </w:r>
      <w:r w:rsidR="00C97A14" w:rsidRPr="007E5190">
        <w:rPr>
          <w:rFonts w:ascii="Times New Roman" w:hAnsi="Times New Roman" w:cs="Times New Roman"/>
        </w:rPr>
        <w:t>).</w:t>
      </w:r>
      <w:r w:rsidR="006934F8" w:rsidRPr="007E5190">
        <w:rPr>
          <w:rFonts w:ascii="Times New Roman" w:hAnsi="Times New Roman" w:cs="Times New Roman"/>
        </w:rPr>
        <w:t xml:space="preserve"> </w:t>
      </w:r>
      <w:r w:rsidR="00D02B9F" w:rsidRPr="007E5190">
        <w:rPr>
          <w:rFonts w:ascii="Times New Roman" w:hAnsi="Times New Roman" w:cs="Times New Roman"/>
        </w:rPr>
        <w:t xml:space="preserve">This alignment allows for strong electrostatic attraction between the electron-rich ligand and the electron-deficient residues of the protein. This specific electrostatic complementarity drives the significant electrostatic interaction energy </w:t>
      </w:r>
      <m:oMath>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elec</m:t>
            </m:r>
          </m:sub>
        </m:sSub>
        <m:r>
          <w:rPr>
            <w:rFonts w:ascii="Cambria Math" w:hAnsi="Cambria Math" w:cs="Times New Roman"/>
          </w:rPr>
          <m:t xml:space="preserve"> = -9.31 kcal/mol )</m:t>
        </m:r>
      </m:oMath>
      <w:r w:rsidR="00D02B9F" w:rsidRPr="007E5190">
        <w:rPr>
          <w:rFonts w:ascii="Times New Roman" w:hAnsi="Times New Roman" w:cs="Times New Roman"/>
        </w:rPr>
        <w:t xml:space="preserve"> observed in the MM/GBSA decomposition (</w:t>
      </w:r>
      <w:r w:rsidR="00D02B9F" w:rsidRPr="007E5190">
        <w:rPr>
          <w:rFonts w:ascii="Times New Roman" w:hAnsi="Times New Roman" w:cs="Times New Roman"/>
          <w:color w:val="4472C4" w:themeColor="accent1"/>
        </w:rPr>
        <w:fldChar w:fldCharType="begin"/>
      </w:r>
      <w:r w:rsidR="00D02B9F" w:rsidRPr="007E5190">
        <w:rPr>
          <w:rFonts w:ascii="Times New Roman" w:hAnsi="Times New Roman" w:cs="Times New Roman"/>
          <w:color w:val="4472C4" w:themeColor="accent1"/>
        </w:rPr>
        <w:instrText xml:space="preserve"> REF _Ref213082033 \h </w:instrText>
      </w:r>
      <w:r w:rsidR="008D335A" w:rsidRPr="007E5190">
        <w:rPr>
          <w:rFonts w:ascii="Times New Roman" w:hAnsi="Times New Roman" w:cs="Times New Roman"/>
          <w:color w:val="4472C4" w:themeColor="accent1"/>
        </w:rPr>
        <w:instrText xml:space="preserve"> \* MERGEFORMAT </w:instrText>
      </w:r>
      <w:r w:rsidR="00D02B9F" w:rsidRPr="007E5190">
        <w:rPr>
          <w:rFonts w:ascii="Times New Roman" w:hAnsi="Times New Roman" w:cs="Times New Roman"/>
          <w:color w:val="4472C4" w:themeColor="accent1"/>
        </w:rPr>
      </w:r>
      <w:r w:rsidR="00D02B9F" w:rsidRPr="007E5190">
        <w:rPr>
          <w:rFonts w:ascii="Times New Roman" w:hAnsi="Times New Roman" w:cs="Times New Roman"/>
          <w:color w:val="4472C4" w:themeColor="accent1"/>
        </w:rPr>
        <w:fldChar w:fldCharType="separate"/>
      </w:r>
      <w:r w:rsidR="00D02B9F" w:rsidRPr="007E5190">
        <w:rPr>
          <w:rFonts w:ascii="Times New Roman" w:hAnsi="Times New Roman" w:cs="Times New Roman"/>
          <w:color w:val="4472C4" w:themeColor="accent1"/>
        </w:rPr>
        <w:t xml:space="preserve">Table </w:t>
      </w:r>
      <w:r w:rsidR="00D02B9F" w:rsidRPr="007E5190">
        <w:rPr>
          <w:rFonts w:ascii="Times New Roman" w:hAnsi="Times New Roman" w:cs="Times New Roman"/>
          <w:noProof/>
          <w:color w:val="4472C4" w:themeColor="accent1"/>
        </w:rPr>
        <w:t>8</w:t>
      </w:r>
      <w:r w:rsidR="00D02B9F" w:rsidRPr="007E5190">
        <w:rPr>
          <w:rFonts w:ascii="Times New Roman" w:hAnsi="Times New Roman" w:cs="Times New Roman"/>
          <w:color w:val="4472C4" w:themeColor="accent1"/>
        </w:rPr>
        <w:fldChar w:fldCharType="end"/>
      </w:r>
      <w:r w:rsidR="00D02B9F" w:rsidRPr="007E5190">
        <w:rPr>
          <w:rFonts w:ascii="Times New Roman" w:hAnsi="Times New Roman" w:cs="Times New Roman"/>
        </w:rPr>
        <w:t>), validating the Hederagenin analogue as the most potent inhibitor.</w:t>
      </w:r>
    </w:p>
    <w:p w14:paraId="5628F009" w14:textId="5728F29D" w:rsidR="009157B4" w:rsidRPr="007E5190" w:rsidRDefault="009157B4" w:rsidP="00564282">
      <w:pPr>
        <w:pStyle w:val="Heading1"/>
        <w:spacing w:before="240"/>
        <w:rPr>
          <w:rFonts w:cs="Times New Roman"/>
        </w:rPr>
      </w:pPr>
      <w:r w:rsidRPr="007E5190">
        <w:rPr>
          <w:rFonts w:cs="Times New Roman"/>
        </w:rPr>
        <w:t>Discussion</w:t>
      </w:r>
    </w:p>
    <w:p w14:paraId="7B8D6F3E" w14:textId="0C657BC5" w:rsidR="009157B4" w:rsidRPr="007E5190" w:rsidRDefault="009157B4"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This study directly addresses a significant gap identified in the literature: the lack of systematic screening for Internalin H inhibitors. By illustrating a successful computational workflow to find these compounds, this research provides a foundational dataset for a new line of anti-virulence therapies against </w:t>
      </w:r>
      <w:r w:rsidRPr="007E5190">
        <w:rPr>
          <w:rFonts w:ascii="Times New Roman" w:hAnsi="Times New Roman" w:cs="Times New Roman"/>
          <w:i/>
          <w:iCs/>
          <w:color w:val="0D0D0D" w:themeColor="text1" w:themeTint="F2"/>
        </w:rPr>
        <w:t>L. monocytogenes</w:t>
      </w:r>
      <w:r w:rsidRPr="007E5190">
        <w:rPr>
          <w:rFonts w:ascii="Times New Roman" w:hAnsi="Times New Roman" w:cs="Times New Roman"/>
          <w:color w:val="0D0D0D" w:themeColor="text1" w:themeTint="F2"/>
        </w:rPr>
        <w:t xml:space="preserve"> </w:t>
      </w:r>
      <w:r w:rsidR="002A764C" w:rsidRPr="007E5190">
        <w:rPr>
          <w:rFonts w:ascii="Times New Roman" w:hAnsi="Times New Roman" w:cs="Times New Roman"/>
          <w:color w:val="0D0D0D" w:themeColor="text1" w:themeTint="F2"/>
        </w:rPr>
        <w:fldChar w:fldCharType="begin"/>
      </w:r>
      <w:r w:rsidR="007706F9" w:rsidRPr="007E5190">
        <w:rPr>
          <w:rFonts w:ascii="Times New Roman" w:hAnsi="Times New Roman" w:cs="Times New Roman"/>
          <w:color w:val="0D0D0D" w:themeColor="text1" w:themeTint="F2"/>
        </w:rPr>
        <w:instrText xml:space="preserve"> ADDIN ZOTERO_ITEM CSL_CITATION {"citationID":"JRmJFVTr","properties":{"formattedCitation":"[10,14]","plainCitation":"[10,14]","noteIndex":0},"citationItems":[{"id":2,"uris":["http://zotero.org/users/local/GoHQ98fS/items/CKZBI5FH"],"itemData":{"id":2,"type":"article","abstract":"ABSTRACT\n          \n            Humans can develop listeriosis by ingestion of foods contaminated with\n            Listeria monocytogenes,\n            an opportunistic gram-positive ubiquitous bacterium. Whilst the non-invasive form of listeriosis may be asymptomatic or cause mild flu-like symptoms, the invasive form of listeriosis is life-threatening and is associated with high hospitalization and fatality rates. Current antibiotic-based therapies are still effective against listeriosis. However, multi-drug resistant\n            Listeria monocytogenes\n            strains have already been identified, which represents a new risk in the treatment of invasive listeriosis. Therefore, it is increasingly urgent to identify new compounds that do not target the conventional biochemical pathways disrupted by current antibiotics. Positive Regulatory Factor A (PrfA) is a well-studied transcriptional factor in\n            Listeria monocytogenes\n            that is responsible for activating a plethora of virulence factors. Targeting virulence factors is a promising strategy that is being considered to combat bacterial infections, hence targeting PrfA is both logical and attractive. In the present computational drug repurposing approach, a complete FDA-approved drugs dataset of more than 700 compounds was virtually screened by docking the drugs against the structure of PrfA. Three of the most promising top-scored FDA drug candidates were then simulated complexed to PrfA. Data from Molecular docking and Molecular Dynamics simulations suggest that Dutasteride and Solifenacin may bind PrfA, and as a result, might exhibit inhibitory activity against\n            Listeria monocytogenes\n            . The use of Dutasteride and Solifenacin is safe in humans since they have been used in the treatment of benign prostatic hyperplasia and androgenic alopecia, and urinary incontinence respectively for decades. Their unique chemical scaffolds may represent valuable starting points for the rapid development of disruptive novel listeria-specific drugs that will be soon needed to combat multi-drug resistant\n            Listeria monocytogenes\n            strains.","DOI":"10.1101/2023.12.10.570966","language":"en","publisher":"Bioinformatics","source":"DOI.org (Crossref)","title":"Targeting PrfA from Listeria monocytogenes: a computational drug repurposing approach","title-short":"Targeting PrfA from Listeria monocytogenes","URL":"http://biorxiv.org/lookup/doi/10.1101/2023.12.10.570966","author":[{"family":"Arias Moreno","given":"Xabier"}],"accessed":{"date-parts":[["2025",9,9]]},"issued":{"date-parts":[["2023",12,10]]}}},{"id":30,"uris":["http://zotero.org/users/local/GoHQ98fS/items/FG8NNK3H"],"itemData":{"id":30,"type":"article-journal","abstract":"ABSTRACT\n            \n              The genome of the pathogenic bacterium\n              Listeria monocytogenes\n              contains a family of genes encoding proteins with a leucine-rich repeat domain. One of these genes,\n              inlH\n              , is a σ\n              B\n              -dependent virulence gene of unknown function. Previously,\n              inlH\n              was proposed to be coexpressed with two adjacent internalin genes,\n              inlG\n              and\n              inlE\n              . Using tiling arrays, we showed that\n              inlH\n              expression is monocistronic and specifically induced in stationary phase as well as in the intestinal lumen of mice, independent of\n              inlG\n              and\n              inlE\n              expression. Consistent with\n              inlH\n              σ\n              B\n              -dependent regulation, surface expression of the InlH protein is induced when bacteria are subjected to thermal, acidic, osmotic, or oxidative stress. Disruption of\n              inlH\n              increases the amount of the invasion protein InlA without changing\n              inlA\n              transcript level, suggesting that there is a link between\n              inlH\n              expression and\n              inlA\n              posttranscriptional regulation. However, in contrast to InlA, InlH does not contribute to bacterial invasion of cultured cells\n              in vitro\n              or of intestinal cells\n              in vivo\n              . Strikingly, the reduced virulence of\n              inlH\n              -deficient\n              L. monocytogenes\n              strains is accompanied by enhanced production of interleukin-6 (IL-6) in infected tissues during the systemic phase of murine listeriosis but not by enhanced production of any other inflammatory cytokine tested. Since InlH does not modulate IL-6 secretion in macrophages at least\n              in vitro\n              , it may play a role in other immune cells or contribute to a pathway that modulates survival or activation of IL-6-secreting cells. These results strongly suggest that InlH is a stress-induced surface protein that facilitates pathogen survival in tissues by tempering the inflammatory response.","container-title":"Infection and Immunity","DOI":"10.1128/IAI.01096-09","ISSN":"0019-9567, 1098-5522","issue":"5","journalAbbreviation":"Infect Immun","language":"en","page":"1979-1989","source":"DOI.org (Crossref)","title":"The Stress-Induced Virulence Protein InlH Controls Interleukin-6 Production during Murine Listeriosis","URL":"https://journals.asm.org/doi/10.1128/IAI.01096-09","volume":"78","author":[{"family":"Personnic","given":"Nicolas"},{"family":"Bruck","given":"Serawit"},{"family":"Nahori","given":"Marie-Anne"},{"family":"Toledo-Arana","given":"Alejandro"},{"family":"Nikitas","given":"Giorgos"},{"family":"Lecuit","given":"Marc"},{"family":"Dussurget","given":"Olivier"},{"family":"Cossart","given":"Pascale"},{"family":"Bierne","given":"Hélène"}],"accessed":{"date-parts":[["2025",9,9]]},"issued":{"date-parts":[["2010",5]]}}}],"schema":"https://github.com/citation-style-language/schema/raw/master/csl-citation.json"} </w:instrText>
      </w:r>
      <w:r w:rsidR="002A764C" w:rsidRPr="007E5190">
        <w:rPr>
          <w:rFonts w:ascii="Times New Roman" w:hAnsi="Times New Roman" w:cs="Times New Roman"/>
          <w:color w:val="0D0D0D" w:themeColor="text1" w:themeTint="F2"/>
        </w:rPr>
        <w:fldChar w:fldCharType="separate"/>
      </w:r>
      <w:r w:rsidR="007706F9" w:rsidRPr="007E5190">
        <w:rPr>
          <w:rFonts w:ascii="Times New Roman" w:hAnsi="Times New Roman" w:cs="Times New Roman"/>
          <w:color w:val="0D0D0D" w:themeColor="text1" w:themeTint="F2"/>
        </w:rPr>
        <w:t>[10,14]</w:t>
      </w:r>
      <w:r w:rsidR="002A764C" w:rsidRPr="007E5190">
        <w:rPr>
          <w:rFonts w:ascii="Times New Roman" w:hAnsi="Times New Roman" w:cs="Times New Roman"/>
          <w:color w:val="0D0D0D" w:themeColor="text1" w:themeTint="F2"/>
        </w:rPr>
        <w:fldChar w:fldCharType="end"/>
      </w:r>
      <w:r w:rsidR="00664CDB" w:rsidRPr="007E5190">
        <w:rPr>
          <w:rFonts w:ascii="Times New Roman" w:hAnsi="Times New Roman" w:cs="Times New Roman"/>
          <w:color w:val="0D0D0D" w:themeColor="text1" w:themeTint="F2"/>
        </w:rPr>
        <w:t xml:space="preserve"> . Targeting a virulence factor like </w:t>
      </w:r>
      <w:proofErr w:type="spellStart"/>
      <w:r w:rsidR="00664CDB" w:rsidRPr="007E5190">
        <w:rPr>
          <w:rFonts w:ascii="Times New Roman" w:hAnsi="Times New Roman" w:cs="Times New Roman"/>
          <w:color w:val="0D0D0D" w:themeColor="text1" w:themeTint="F2"/>
        </w:rPr>
        <w:t>InlH</w:t>
      </w:r>
      <w:proofErr w:type="spellEnd"/>
      <w:r w:rsidR="00664CDB" w:rsidRPr="007E5190">
        <w:rPr>
          <w:rFonts w:ascii="Times New Roman" w:hAnsi="Times New Roman" w:cs="Times New Roman"/>
          <w:color w:val="0D0D0D" w:themeColor="text1" w:themeTint="F2"/>
        </w:rPr>
        <w:t>, which is crucial for immune evasion, is a strategy that could complement traditional antibiotics</w:t>
      </w:r>
      <w:r w:rsidRPr="007E5190">
        <w:rPr>
          <w:rFonts w:ascii="Times New Roman" w:hAnsi="Times New Roman" w:cs="Times New Roman"/>
          <w:color w:val="0D0D0D" w:themeColor="text1" w:themeTint="F2"/>
        </w:rPr>
        <w:t xml:space="preserve"> </w:t>
      </w:r>
      <w:r w:rsidR="007706F9" w:rsidRPr="007E5190">
        <w:rPr>
          <w:rFonts w:ascii="Times New Roman" w:hAnsi="Times New Roman" w:cs="Times New Roman"/>
          <w:color w:val="0D0D0D" w:themeColor="text1" w:themeTint="F2"/>
        </w:rPr>
        <w:fldChar w:fldCharType="begin"/>
      </w:r>
      <w:r w:rsidR="00A37E32" w:rsidRPr="007E5190">
        <w:rPr>
          <w:rFonts w:ascii="Times New Roman" w:hAnsi="Times New Roman" w:cs="Times New Roman"/>
          <w:color w:val="0D0D0D" w:themeColor="text1" w:themeTint="F2"/>
        </w:rPr>
        <w:instrText xml:space="preserve"> ADDIN ZOTERO_ITEM CSL_CITATION {"citationID":"qYClWwjl","properties":{"formattedCitation":"[7,9]","plainCitation":"[7,9]","noteIndex":0},"citationItems":[{"id":12,"uris":["http://zotero.org/users/local/GoHQ98fS/items/GGZCCSVW"],"itemData":{"id":12,"type":"article-journal","abstract":"Listeria monocytogenes (L. monocytogenes) poses a significant threat to food safety due to its ability to cause severe human illness and its resistance to various antibiotics and environmental conditions. This study investigated the prevalence, serotype distribution, virulence gene profiles, and antimicrobial resistance patterns of L. monocytogenes in ready-to-eat (RTE) food products from Romania. A total of 8151 samples were analyzed, including various processed dairy, bovine, poultry, pork, and fish products. Bacterial isolation was conducted using the classical standard method, followed by confirmation through biochemical and molecular testing. Among the isolated strains, serotypes 1/2a, 1/2b, and 1/2c were identified, with a prevalence of 75% for serotype 1/2a. Additionally, virulence genes specific to listeriolysin O (hlyA) and regulatory factor A (prfA) were detected in all isolates. Antimicrobial susceptibility testing revealed varying resistance patterns among the L. monocytogenes strains. Trimethoprim-sulfamethoxazole and oxacillin showed the highest prevalence of resistance at 26.92% and 23.07%, respectively. However, all strains remained susceptible to ciprofloxacin, levofloxacin, and moxifloxacin. Notably, 23.07% of the isolates exhibited multidrug resistance, with the most common pattern being resistance to oxacillin, penicillin, and tetracycline. Analysis of antimicrobial resistance genes identified tetracycline resistance genes, particularly tet(C), tet(M), and tet(K), in a significant proportion of isolates. The presence of ampC and dfrD genes was also notable, indicating potential mechanisms of resistance. These results emphasize the necessity for ongoing surveillance of L. monocytogenes in RTE foods and emphasize the importance of thorough monitoring of antimicrobial resistance to guide public health strategies within the European Union.","container-title":"Microorganisms","DOI":"10.3390/microorganisms12050954","ISSN":"2076-2607","issue":"5","journalAbbreviation":"Microorganisms","language":"en","license":"https://creativecommons.org/licenses/by/4.0/","page":"954","source":"DOI.org (Crossref)","title":"Virulence and Antimicrobial Resistance of Listeria monocytogenes Isolated from Ready-to-Eat Food Products in Romania","URL":"https://www.mdpi.com/2076-2607/12/5/954","volume":"12","author":[{"family":"Duma","given":"Mihaela Niculina"},{"family":"Ciupescu","given":"Laurenţiu Mihai"},{"family":"Dan","given":"Sorin Daniel"},{"family":"Crisan-Reget","given":"Oana Lucia"},{"family":"Tabaran","given":"Alexandra"}],"accessed":{"date-parts":[["2025",9,9]]},"issued":{"date-parts":[["2024",5,8]]}}},{"id":20,"uris":["http://zotero.org/users/local/GoHQ98fS/items/J3DIWDKU"],"itemData":{"id":20,"type":"article-journal","abstract":"ABSTRACT\n            \n              For nearly a century the use of antibiotics to treat infectious diseases has benefited human and animal health. In recent years there has been an increase in the emergence of antibiotic-resistant bacteria, in part attributed to the overuse of compounds in clinical and farming settings. The genus\n              Listeria\n              currently comprises 17 recognized species found throughout the environment.\n              Listeria monocytogenes\n              is the etiological agent of listeriosis in humans and many vertebrate species, including birds, whereas\n              Listeria ivanovii\n              causes infections mainly in ruminants.\n              L. monocytogenes\n              is the third-most-common cause of death from food poisoning in humans, and infection occurs in at-risk groups, including pregnant women, newborns, the elderly, and immunocompromised individuals.","container-title":"Microbiology Spectrum","DOI":"10.1128/microbiolspec.ARBA-0031-2017","ISSN":"2165-0497","issue":"4","journalAbbreviation":"Microbiol Spectr","language":"en","page":"6.4.19","source":"DOI.org (Crossref)","title":"Antimicrobial Resistance in &lt;i&gt;Listeria&lt;/i&gt; Species","URL":"https://journals.asm.org/doi/10.1128/microbiolspec.ARBA-0031-2017","volume":"6","author":[{"family":"Luque-Sastre","given":"Laura"},{"family":"Arroyo","given":"Cristina"},{"family":"Fox","given":"Edward M."},{"family":"McMahon","given":"Barry J."},{"family":"Bai","given":"Li"},{"family":"Li","given":"Fengqin"},{"family":"Fanning","given":"Séamus"}],"editor":[{"family":"Aarestrup","given":"Frank Møller"},{"family":"Schwarz","given":"Stefan"},{"family":"Shen","given":"Jianzhong"},{"family":"Cavaco","given":"Lina"}],"accessed":{"date-parts":[["2025",9,9]]},"issued":{"date-parts":[["2018",7,27]]}}}],"schema":"https://github.com/citation-style-language/schema/raw/master/csl-citation.json"} </w:instrText>
      </w:r>
      <w:r w:rsidR="007706F9" w:rsidRPr="007E5190">
        <w:rPr>
          <w:rFonts w:ascii="Times New Roman" w:hAnsi="Times New Roman" w:cs="Times New Roman"/>
          <w:color w:val="0D0D0D" w:themeColor="text1" w:themeTint="F2"/>
        </w:rPr>
        <w:fldChar w:fldCharType="separate"/>
      </w:r>
      <w:r w:rsidR="00A37E32" w:rsidRPr="007E5190">
        <w:rPr>
          <w:rFonts w:ascii="Times New Roman" w:hAnsi="Times New Roman" w:cs="Times New Roman"/>
          <w:color w:val="0D0D0D" w:themeColor="text1" w:themeTint="F2"/>
        </w:rPr>
        <w:t>[7,9]</w:t>
      </w:r>
      <w:r w:rsidR="007706F9" w:rsidRPr="007E5190">
        <w:rPr>
          <w:rFonts w:ascii="Times New Roman" w:hAnsi="Times New Roman" w:cs="Times New Roman"/>
          <w:color w:val="0D0D0D" w:themeColor="text1" w:themeTint="F2"/>
        </w:rPr>
        <w:fldChar w:fldCharType="end"/>
      </w:r>
      <w:r w:rsidR="00664CDB" w:rsidRPr="007E5190">
        <w:rPr>
          <w:rFonts w:ascii="Times New Roman" w:hAnsi="Times New Roman" w:cs="Times New Roman"/>
          <w:color w:val="0D0D0D" w:themeColor="text1" w:themeTint="F2"/>
        </w:rPr>
        <w:t xml:space="preserve">. The emergence of antimicrobial resistance in organisms such as </w:t>
      </w:r>
      <w:r w:rsidR="00664CDB" w:rsidRPr="007E5190">
        <w:rPr>
          <w:rFonts w:ascii="Times New Roman" w:hAnsi="Times New Roman" w:cs="Times New Roman"/>
          <w:i/>
          <w:iCs/>
          <w:color w:val="0D0D0D" w:themeColor="text1" w:themeTint="F2"/>
        </w:rPr>
        <w:t>Listeria monocytogenes</w:t>
      </w:r>
      <w:r w:rsidR="00664CDB" w:rsidRPr="007E5190">
        <w:rPr>
          <w:rFonts w:ascii="Times New Roman" w:hAnsi="Times New Roman" w:cs="Times New Roman"/>
          <w:color w:val="0D0D0D" w:themeColor="text1" w:themeTint="F2"/>
        </w:rPr>
        <w:t xml:space="preserve"> creates a dire need for new therapeutic </w:t>
      </w:r>
      <w:r w:rsidR="00CC2B9D" w:rsidRPr="007E5190">
        <w:rPr>
          <w:rFonts w:ascii="Times New Roman" w:hAnsi="Times New Roman" w:cs="Times New Roman"/>
          <w:color w:val="0D0D0D" w:themeColor="text1" w:themeTint="F2"/>
        </w:rPr>
        <w:t>approaches.</w:t>
      </w:r>
    </w:p>
    <w:p w14:paraId="7BF1A5E4" w14:textId="4A01D59F" w:rsidR="009157B4" w:rsidRPr="007E5190" w:rsidRDefault="009157B4" w:rsidP="00D75BEE">
      <w:pPr>
        <w:jc w:val="both"/>
        <w:rPr>
          <w:rFonts w:ascii="Times New Roman" w:hAnsi="Times New Roman" w:cs="Times New Roman"/>
          <w:i/>
          <w:iCs/>
          <w:color w:val="0D0D0D" w:themeColor="text1" w:themeTint="F2"/>
        </w:rPr>
      </w:pPr>
      <w:r w:rsidRPr="007E5190">
        <w:rPr>
          <w:rFonts w:ascii="Times New Roman" w:hAnsi="Times New Roman" w:cs="Times New Roman"/>
          <w:color w:val="0D0D0D" w:themeColor="text1" w:themeTint="F2"/>
        </w:rPr>
        <w:t>The initial computational stages were highly effective at identifying a promising target site and a pool of potential inhibitors. The fact that focused docking (</w:t>
      </w:r>
      <w:r w:rsidR="00DD06FA" w:rsidRPr="007E5190">
        <w:rPr>
          <w:rFonts w:ascii="Times New Roman" w:hAnsi="Times New Roman" w:cs="Times New Roman"/>
          <w:i/>
          <w:iCs/>
          <w:color w:val="4472C4" w:themeColor="accent1"/>
        </w:rPr>
        <w:fldChar w:fldCharType="begin"/>
      </w:r>
      <w:r w:rsidR="00DD06FA" w:rsidRPr="007E5190">
        <w:rPr>
          <w:rFonts w:ascii="Times New Roman" w:hAnsi="Times New Roman" w:cs="Times New Roman"/>
          <w:color w:val="4472C4" w:themeColor="accent1"/>
        </w:rPr>
        <w:instrText xml:space="preserve"> REF _Ref213159030 \h </w:instrText>
      </w:r>
      <w:r w:rsidR="009603C8" w:rsidRPr="007E5190">
        <w:rPr>
          <w:rFonts w:ascii="Times New Roman" w:hAnsi="Times New Roman" w:cs="Times New Roman"/>
          <w:i/>
          <w:iCs/>
          <w:color w:val="4472C4" w:themeColor="accent1"/>
        </w:rPr>
        <w:instrText xml:space="preserve"> \* MERGEFORMAT </w:instrText>
      </w:r>
      <w:r w:rsidR="00DD06FA" w:rsidRPr="007E5190">
        <w:rPr>
          <w:rFonts w:ascii="Times New Roman" w:hAnsi="Times New Roman" w:cs="Times New Roman"/>
          <w:i/>
          <w:iCs/>
          <w:color w:val="4472C4" w:themeColor="accent1"/>
        </w:rPr>
      </w:r>
      <w:r w:rsidR="00DD06FA" w:rsidRPr="007E5190">
        <w:rPr>
          <w:rFonts w:ascii="Times New Roman" w:hAnsi="Times New Roman" w:cs="Times New Roman"/>
          <w:i/>
          <w:iCs/>
          <w:color w:val="4472C4" w:themeColor="accent1"/>
        </w:rPr>
        <w:fldChar w:fldCharType="separate"/>
      </w:r>
      <w:r w:rsidR="00DD06FA" w:rsidRPr="007E5190">
        <w:rPr>
          <w:rFonts w:ascii="Times New Roman" w:hAnsi="Times New Roman" w:cs="Times New Roman"/>
          <w:color w:val="4472C4" w:themeColor="accent1"/>
        </w:rPr>
        <w:t xml:space="preserve">Identification of Binding Site via Initial </w:t>
      </w:r>
      <w:proofErr w:type="spellStart"/>
      <w:r w:rsidR="00DD06FA" w:rsidRPr="007E5190">
        <w:rPr>
          <w:rFonts w:ascii="Times New Roman" w:hAnsi="Times New Roman" w:cs="Times New Roman"/>
          <w:color w:val="4472C4" w:themeColor="accent1"/>
        </w:rPr>
        <w:t>AutoDock</w:t>
      </w:r>
      <w:proofErr w:type="spellEnd"/>
      <w:r w:rsidR="00DD06FA" w:rsidRPr="007E5190">
        <w:rPr>
          <w:rFonts w:ascii="Times New Roman" w:hAnsi="Times New Roman" w:cs="Times New Roman"/>
          <w:color w:val="4472C4" w:themeColor="accent1"/>
        </w:rPr>
        <w:t xml:space="preserve"> 4 Screening</w:t>
      </w:r>
      <w:r w:rsidR="00DD06FA" w:rsidRPr="007E5190">
        <w:rPr>
          <w:rFonts w:ascii="Times New Roman" w:hAnsi="Times New Roman" w:cs="Times New Roman"/>
          <w:i/>
          <w:iCs/>
          <w:color w:val="4472C4" w:themeColor="accent1"/>
        </w:rPr>
        <w:fldChar w:fldCharType="end"/>
      </w:r>
      <w:r w:rsidRPr="007E5190">
        <w:rPr>
          <w:rFonts w:ascii="Times New Roman" w:hAnsi="Times New Roman" w:cs="Times New Roman"/>
          <w:color w:val="0D0D0D" w:themeColor="text1" w:themeTint="F2"/>
        </w:rPr>
        <w:t xml:space="preserve">) provided superior binding energy as compared to blind docking strongly suggests that the ligands preferentially bind to a distinct, high-affinity site on the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xml:space="preserve"> protein. The virtual screening (</w:t>
      </w:r>
      <w:r w:rsidR="00DD06FA" w:rsidRPr="007E5190">
        <w:rPr>
          <w:rFonts w:ascii="Times New Roman" w:hAnsi="Times New Roman" w:cs="Times New Roman"/>
          <w:i/>
          <w:iCs/>
          <w:color w:val="4472C4" w:themeColor="accent1"/>
        </w:rPr>
        <w:fldChar w:fldCharType="begin"/>
      </w:r>
      <w:r w:rsidR="00DD06FA" w:rsidRPr="007E5190">
        <w:rPr>
          <w:rFonts w:ascii="Times New Roman" w:hAnsi="Times New Roman" w:cs="Times New Roman"/>
          <w:color w:val="4472C4" w:themeColor="accent1"/>
        </w:rPr>
        <w:instrText xml:space="preserve"> REF _Ref213159057 \h </w:instrText>
      </w:r>
      <w:r w:rsidR="009603C8" w:rsidRPr="007E5190">
        <w:rPr>
          <w:rFonts w:ascii="Times New Roman" w:hAnsi="Times New Roman" w:cs="Times New Roman"/>
          <w:i/>
          <w:iCs/>
          <w:color w:val="4472C4" w:themeColor="accent1"/>
        </w:rPr>
        <w:instrText xml:space="preserve"> \* MERGEFORMAT </w:instrText>
      </w:r>
      <w:r w:rsidR="00DD06FA" w:rsidRPr="007E5190">
        <w:rPr>
          <w:rFonts w:ascii="Times New Roman" w:hAnsi="Times New Roman" w:cs="Times New Roman"/>
          <w:i/>
          <w:iCs/>
          <w:color w:val="4472C4" w:themeColor="accent1"/>
        </w:rPr>
      </w:r>
      <w:r w:rsidR="00DD06FA" w:rsidRPr="007E5190">
        <w:rPr>
          <w:rFonts w:ascii="Times New Roman" w:hAnsi="Times New Roman" w:cs="Times New Roman"/>
          <w:i/>
          <w:iCs/>
          <w:color w:val="4472C4" w:themeColor="accent1"/>
        </w:rPr>
        <w:fldChar w:fldCharType="separate"/>
      </w:r>
      <w:r w:rsidR="00DD06FA" w:rsidRPr="007E5190">
        <w:rPr>
          <w:rFonts w:ascii="Times New Roman" w:hAnsi="Times New Roman" w:cs="Times New Roman"/>
          <w:i/>
          <w:color w:val="4472C4" w:themeColor="accent1"/>
        </w:rPr>
        <w:t>Virtual Screening for Novel High-Affinity Inhibitors</w:t>
      </w:r>
      <w:r w:rsidR="00DD06FA" w:rsidRPr="007E5190">
        <w:rPr>
          <w:rFonts w:ascii="Times New Roman" w:hAnsi="Times New Roman" w:cs="Times New Roman"/>
          <w:i/>
          <w:iCs/>
          <w:color w:val="4472C4" w:themeColor="accent1"/>
        </w:rPr>
        <w:fldChar w:fldCharType="end"/>
      </w:r>
      <w:r w:rsidRPr="007E5190">
        <w:rPr>
          <w:rFonts w:ascii="Times New Roman" w:hAnsi="Times New Roman" w:cs="Times New Roman"/>
          <w:color w:val="4472C4" w:themeColor="accent1"/>
        </w:rPr>
        <w:t>)</w:t>
      </w:r>
      <w:r w:rsidRPr="007E5190">
        <w:rPr>
          <w:rFonts w:ascii="Times New Roman" w:hAnsi="Times New Roman" w:cs="Times New Roman"/>
          <w:color w:val="0D0D0D" w:themeColor="text1" w:themeTint="F2"/>
        </w:rPr>
        <w:t xml:space="preserve"> successfully identified a pool of triterpenoid analogues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Hederagenin, and Lupeol) that showed high-affinity binding. Furthermore, the </w:t>
      </w:r>
      <w:r w:rsidRPr="007E5190">
        <w:rPr>
          <w:rFonts w:ascii="Times New Roman" w:hAnsi="Times New Roman" w:cs="Times New Roman"/>
          <w:i/>
          <w:iCs/>
          <w:color w:val="0D0D0D" w:themeColor="text1" w:themeTint="F2"/>
        </w:rPr>
        <w:t>in silico</w:t>
      </w:r>
      <w:r w:rsidRPr="007E5190">
        <w:rPr>
          <w:rFonts w:ascii="Times New Roman" w:hAnsi="Times New Roman" w:cs="Times New Roman"/>
          <w:color w:val="0D0D0D" w:themeColor="text1" w:themeTint="F2"/>
        </w:rPr>
        <w:t xml:space="preserve"> ADMET profiling (</w:t>
      </w:r>
      <w:r w:rsidR="00DD06FA" w:rsidRPr="007E5190">
        <w:rPr>
          <w:rFonts w:ascii="Times New Roman" w:hAnsi="Times New Roman" w:cs="Times New Roman"/>
          <w:color w:val="4472C4" w:themeColor="accent1"/>
        </w:rPr>
        <w:fldChar w:fldCharType="begin"/>
      </w:r>
      <w:r w:rsidR="00DD06FA" w:rsidRPr="007E5190">
        <w:rPr>
          <w:rFonts w:ascii="Times New Roman" w:hAnsi="Times New Roman" w:cs="Times New Roman"/>
          <w:color w:val="4472C4" w:themeColor="accent1"/>
        </w:rPr>
        <w:instrText xml:space="preserve"> REF _Ref213159086 \h </w:instrText>
      </w:r>
      <w:r w:rsidR="009603C8" w:rsidRPr="007E5190">
        <w:rPr>
          <w:rFonts w:ascii="Times New Roman" w:hAnsi="Times New Roman" w:cs="Times New Roman"/>
          <w:color w:val="4472C4" w:themeColor="accent1"/>
        </w:rPr>
        <w:instrText xml:space="preserve"> \* MERGEFORMAT </w:instrText>
      </w:r>
      <w:r w:rsidR="00DD06FA" w:rsidRPr="007E5190">
        <w:rPr>
          <w:rFonts w:ascii="Times New Roman" w:hAnsi="Times New Roman" w:cs="Times New Roman"/>
          <w:color w:val="4472C4" w:themeColor="accent1"/>
        </w:rPr>
      </w:r>
      <w:r w:rsidR="00DD06FA" w:rsidRPr="007E5190">
        <w:rPr>
          <w:rFonts w:ascii="Times New Roman" w:hAnsi="Times New Roman" w:cs="Times New Roman"/>
          <w:color w:val="4472C4" w:themeColor="accent1"/>
        </w:rPr>
        <w:fldChar w:fldCharType="separate"/>
      </w:r>
      <w:r w:rsidR="00DD06FA" w:rsidRPr="007E5190">
        <w:rPr>
          <w:rFonts w:ascii="Times New Roman" w:hAnsi="Times New Roman" w:cs="Times New Roman"/>
          <w:i/>
          <w:color w:val="4472C4" w:themeColor="accent1"/>
        </w:rPr>
        <w:t>In Silico ADMET and Physicochemical Profiling</w:t>
      </w:r>
      <w:r w:rsidR="00DD06FA" w:rsidRPr="007E5190">
        <w:rPr>
          <w:rFonts w:ascii="Times New Roman" w:hAnsi="Times New Roman" w:cs="Times New Roman"/>
          <w:color w:val="4472C4" w:themeColor="accent1"/>
        </w:rPr>
        <w:fldChar w:fldCharType="end"/>
      </w:r>
      <w:r w:rsidRPr="007E5190">
        <w:rPr>
          <w:rFonts w:ascii="Times New Roman" w:hAnsi="Times New Roman" w:cs="Times New Roman"/>
          <w:color w:val="4472C4" w:themeColor="accent1"/>
        </w:rPr>
        <w:t>)</w:t>
      </w:r>
      <w:r w:rsidRPr="007E5190">
        <w:rPr>
          <w:rFonts w:ascii="Times New Roman" w:hAnsi="Times New Roman" w:cs="Times New Roman"/>
          <w:color w:val="0D0D0D" w:themeColor="text1" w:themeTint="F2"/>
        </w:rPr>
        <w:t xml:space="preserve"> provided valuable insights into the drug-like properties of these leads, confirming their potential as viable drug candidates with high GI absorption and low risk of BBB permeation</w:t>
      </w:r>
      <w:r w:rsidR="00CC2B9D" w:rsidRPr="007E5190">
        <w:rPr>
          <w:rFonts w:ascii="Times New Roman" w:hAnsi="Times New Roman" w:cs="Times New Roman"/>
          <w:color w:val="0D0D0D" w:themeColor="text1" w:themeTint="F2"/>
        </w:rPr>
        <w:t xml:space="preserve"> </w:t>
      </w:r>
      <w:r w:rsidR="004D630E" w:rsidRPr="007E5190">
        <w:rPr>
          <w:rFonts w:ascii="Times New Roman" w:hAnsi="Times New Roman" w:cs="Times New Roman"/>
          <w:color w:val="0D0D0D" w:themeColor="text1" w:themeTint="F2"/>
        </w:rPr>
        <w:t>(</w:t>
      </w:r>
      <w:r w:rsidR="00BC5D1F" w:rsidRPr="007E5190">
        <w:rPr>
          <w:rFonts w:ascii="Times New Roman" w:hAnsi="Times New Roman" w:cs="Times New Roman"/>
          <w:color w:val="4472C4" w:themeColor="accent1"/>
        </w:rPr>
        <w:fldChar w:fldCharType="begin"/>
      </w:r>
      <w:r w:rsidR="00BC5D1F" w:rsidRPr="007E5190">
        <w:rPr>
          <w:rFonts w:ascii="Times New Roman" w:hAnsi="Times New Roman" w:cs="Times New Roman"/>
          <w:color w:val="4472C4" w:themeColor="accent1"/>
        </w:rPr>
        <w:instrText xml:space="preserve"> REF _Ref213061024 \h </w:instrText>
      </w:r>
      <w:r w:rsidR="00F25C91" w:rsidRPr="007E5190">
        <w:rPr>
          <w:rFonts w:ascii="Times New Roman" w:hAnsi="Times New Roman" w:cs="Times New Roman"/>
          <w:color w:val="4472C4" w:themeColor="accent1"/>
        </w:rPr>
        <w:instrText xml:space="preserve"> \* MERGEFORMAT </w:instrText>
      </w:r>
      <w:r w:rsidR="00BC5D1F" w:rsidRPr="007E5190">
        <w:rPr>
          <w:rFonts w:ascii="Times New Roman" w:hAnsi="Times New Roman" w:cs="Times New Roman"/>
          <w:color w:val="4472C4" w:themeColor="accent1"/>
        </w:rPr>
      </w:r>
      <w:r w:rsidR="00BC5D1F" w:rsidRPr="007E5190">
        <w:rPr>
          <w:rFonts w:ascii="Times New Roman" w:hAnsi="Times New Roman" w:cs="Times New Roman"/>
          <w:color w:val="4472C4" w:themeColor="accent1"/>
        </w:rPr>
        <w:fldChar w:fldCharType="separate"/>
      </w:r>
      <w:r w:rsidR="00BC5D1F" w:rsidRPr="007E5190">
        <w:rPr>
          <w:rFonts w:ascii="Times New Roman" w:hAnsi="Times New Roman" w:cs="Times New Roman"/>
          <w:color w:val="4472C4" w:themeColor="accent1"/>
        </w:rPr>
        <w:t xml:space="preserve">Table </w:t>
      </w:r>
      <w:r w:rsidR="00BC5D1F" w:rsidRPr="007E5190">
        <w:rPr>
          <w:rFonts w:ascii="Times New Roman" w:hAnsi="Times New Roman" w:cs="Times New Roman"/>
          <w:noProof/>
          <w:color w:val="4472C4" w:themeColor="accent1"/>
        </w:rPr>
        <w:t>7</w:t>
      </w:r>
      <w:r w:rsidR="00BC5D1F" w:rsidRPr="007E5190">
        <w:rPr>
          <w:rFonts w:ascii="Times New Roman" w:hAnsi="Times New Roman" w:cs="Times New Roman"/>
          <w:color w:val="4472C4" w:themeColor="accent1"/>
        </w:rPr>
        <w:fldChar w:fldCharType="end"/>
      </w:r>
      <w:r w:rsidR="004D630E" w:rsidRPr="007E5190">
        <w:rPr>
          <w:rFonts w:ascii="Times New Roman" w:hAnsi="Times New Roman" w:cs="Times New Roman"/>
        </w:rPr>
        <w:t>)</w:t>
      </w:r>
      <w:r w:rsidRPr="007E5190">
        <w:rPr>
          <w:rFonts w:ascii="Times New Roman" w:hAnsi="Times New Roman" w:cs="Times New Roman"/>
        </w:rPr>
        <w:t>.</w:t>
      </w:r>
    </w:p>
    <w:p w14:paraId="00760C26" w14:textId="10282765" w:rsidR="009157B4" w:rsidRPr="007E5190" w:rsidRDefault="009157B4" w:rsidP="00D75BEE">
      <w:pPr>
        <w:jc w:val="both"/>
        <w:rPr>
          <w:rFonts w:ascii="Times New Roman" w:hAnsi="Times New Roman" w:cs="Times New Roman"/>
          <w:i/>
          <w:iCs/>
          <w:color w:val="0D0D0D" w:themeColor="text1" w:themeTint="F2"/>
        </w:rPr>
      </w:pPr>
      <w:r w:rsidRPr="007E5190">
        <w:rPr>
          <w:rFonts w:ascii="Times New Roman" w:hAnsi="Times New Roman" w:cs="Times New Roman"/>
          <w:color w:val="0D0D0D" w:themeColor="text1" w:themeTint="F2"/>
        </w:rPr>
        <w:t>However, the most significant finding of this study came from the rigorous, multi-step biophysical validation. While the initial docking (</w:t>
      </w:r>
      <w:r w:rsidR="00DD06FA" w:rsidRPr="007E5190">
        <w:rPr>
          <w:rFonts w:ascii="Times New Roman" w:hAnsi="Times New Roman" w:cs="Times New Roman"/>
          <w:i/>
          <w:iCs/>
          <w:color w:val="4472C4" w:themeColor="accent1"/>
        </w:rPr>
        <w:fldChar w:fldCharType="begin"/>
      </w:r>
      <w:r w:rsidR="00DD06FA" w:rsidRPr="007E5190">
        <w:rPr>
          <w:rFonts w:ascii="Times New Roman" w:hAnsi="Times New Roman" w:cs="Times New Roman"/>
          <w:color w:val="4472C4" w:themeColor="accent1"/>
        </w:rPr>
        <w:instrText xml:space="preserve"> REF _Ref213159057 \h </w:instrText>
      </w:r>
      <w:r w:rsidR="009603C8" w:rsidRPr="007E5190">
        <w:rPr>
          <w:rFonts w:ascii="Times New Roman" w:hAnsi="Times New Roman" w:cs="Times New Roman"/>
          <w:i/>
          <w:iCs/>
          <w:color w:val="4472C4" w:themeColor="accent1"/>
        </w:rPr>
        <w:instrText xml:space="preserve"> \* MERGEFORMAT </w:instrText>
      </w:r>
      <w:r w:rsidR="00DD06FA" w:rsidRPr="007E5190">
        <w:rPr>
          <w:rFonts w:ascii="Times New Roman" w:hAnsi="Times New Roman" w:cs="Times New Roman"/>
          <w:i/>
          <w:iCs/>
          <w:color w:val="4472C4" w:themeColor="accent1"/>
        </w:rPr>
      </w:r>
      <w:r w:rsidR="00DD06FA" w:rsidRPr="007E5190">
        <w:rPr>
          <w:rFonts w:ascii="Times New Roman" w:hAnsi="Times New Roman" w:cs="Times New Roman"/>
          <w:i/>
          <w:iCs/>
          <w:color w:val="4472C4" w:themeColor="accent1"/>
        </w:rPr>
        <w:fldChar w:fldCharType="separate"/>
      </w:r>
      <w:r w:rsidR="00DD06FA" w:rsidRPr="007E5190">
        <w:rPr>
          <w:rFonts w:ascii="Times New Roman" w:hAnsi="Times New Roman" w:cs="Times New Roman"/>
          <w:i/>
          <w:color w:val="4472C4" w:themeColor="accent1"/>
        </w:rPr>
        <w:t>Virtual Screening for Novel High-Affinity Inhibitors</w:t>
      </w:r>
      <w:r w:rsidR="00DD06FA" w:rsidRPr="007E5190">
        <w:rPr>
          <w:rFonts w:ascii="Times New Roman" w:hAnsi="Times New Roman" w:cs="Times New Roman"/>
          <w:i/>
          <w:iCs/>
          <w:color w:val="4472C4" w:themeColor="accent1"/>
        </w:rPr>
        <w:fldChar w:fldCharType="end"/>
      </w:r>
      <w:r w:rsidRPr="007E5190">
        <w:rPr>
          <w:rFonts w:ascii="Times New Roman" w:hAnsi="Times New Roman" w:cs="Times New Roman"/>
          <w:color w:val="0D0D0D" w:themeColor="text1" w:themeTint="F2"/>
        </w:rPr>
        <w:t xml:space="preserve">) was crucial for identifying candidates, its scoring was ultimately misleading, ranking the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as the top hit (</w:t>
      </w:r>
      <m:oMath>
        <m:r>
          <w:rPr>
            <w:rFonts w:ascii="Cambria Math" w:hAnsi="Cambria Math" w:cs="Times New Roman"/>
            <w:color w:val="0D0D0D" w:themeColor="text1" w:themeTint="F2"/>
          </w:rPr>
          <m:t>-7.4 kcal/mol</m:t>
        </m:r>
      </m:oMath>
      <w:r w:rsidRPr="007E5190">
        <w:rPr>
          <w:rFonts w:ascii="Times New Roman" w:hAnsi="Times New Roman" w:cs="Times New Roman"/>
          <w:color w:val="0D0D0D" w:themeColor="text1" w:themeTint="F2"/>
        </w:rPr>
        <w:t>). The 125 ns MD simulations and subsequent MM-GBSA calculations (</w:t>
      </w:r>
      <w:r w:rsidR="00DF75E6" w:rsidRPr="007E5190">
        <w:rPr>
          <w:rFonts w:ascii="Times New Roman" w:hAnsi="Times New Roman" w:cs="Times New Roman"/>
          <w:i/>
          <w:iCs/>
          <w:color w:val="4472C4" w:themeColor="accent1"/>
        </w:rPr>
        <w:fldChar w:fldCharType="begin"/>
      </w:r>
      <w:r w:rsidR="00DF75E6" w:rsidRPr="007E5190">
        <w:rPr>
          <w:rFonts w:ascii="Times New Roman" w:hAnsi="Times New Roman" w:cs="Times New Roman"/>
          <w:color w:val="4472C4" w:themeColor="accent1"/>
        </w:rPr>
        <w:instrText xml:space="preserve"> REF _Ref213159162 \h </w:instrText>
      </w:r>
      <w:r w:rsidR="009603C8" w:rsidRPr="007E5190">
        <w:rPr>
          <w:rFonts w:ascii="Times New Roman" w:hAnsi="Times New Roman" w:cs="Times New Roman"/>
          <w:i/>
          <w:iCs/>
          <w:color w:val="4472C4" w:themeColor="accent1"/>
        </w:rPr>
        <w:instrText xml:space="preserve"> \* MERGEFORMAT </w:instrText>
      </w:r>
      <w:r w:rsidR="00DF75E6" w:rsidRPr="007E5190">
        <w:rPr>
          <w:rFonts w:ascii="Times New Roman" w:hAnsi="Times New Roman" w:cs="Times New Roman"/>
          <w:i/>
          <w:iCs/>
          <w:color w:val="4472C4" w:themeColor="accent1"/>
        </w:rPr>
      </w:r>
      <w:r w:rsidR="00DF75E6" w:rsidRPr="007E5190">
        <w:rPr>
          <w:rFonts w:ascii="Times New Roman" w:hAnsi="Times New Roman" w:cs="Times New Roman"/>
          <w:i/>
          <w:iCs/>
          <w:color w:val="4472C4" w:themeColor="accent1"/>
        </w:rPr>
        <w:fldChar w:fldCharType="separate"/>
      </w:r>
      <w:r w:rsidR="00DF75E6" w:rsidRPr="007E5190">
        <w:rPr>
          <w:rFonts w:ascii="Times New Roman" w:hAnsi="Times New Roman" w:cs="Times New Roman"/>
          <w:i/>
          <w:color w:val="4472C4" w:themeColor="accent1"/>
        </w:rPr>
        <w:t>Binding Free Energy (MM/GBSA) Calculation</w:t>
      </w:r>
      <w:r w:rsidR="00DF75E6" w:rsidRPr="007E5190">
        <w:rPr>
          <w:rFonts w:ascii="Times New Roman" w:hAnsi="Times New Roman" w:cs="Times New Roman"/>
          <w:i/>
          <w:iCs/>
          <w:color w:val="4472C4" w:themeColor="accent1"/>
        </w:rPr>
        <w:fldChar w:fldCharType="end"/>
      </w:r>
      <w:r w:rsidRPr="007E5190">
        <w:rPr>
          <w:rFonts w:ascii="Times New Roman" w:hAnsi="Times New Roman" w:cs="Times New Roman"/>
          <w:color w:val="0D0D0D" w:themeColor="text1" w:themeTint="F2"/>
        </w:rPr>
        <w:t>) proved essential for correcting this initial ranking.</w:t>
      </w:r>
    </w:p>
    <w:p w14:paraId="4BBCCC12" w14:textId="34548911" w:rsidR="009157B4" w:rsidRPr="007E5190" w:rsidRDefault="009157B4"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lastRenderedPageBreak/>
        <w:t xml:space="preserve">The final, definitive finding of this study was the validation of the Hederagenin analogue (CID 137633443) as the most potent inhibitor, with a binding free energy of </w:t>
      </w:r>
      <m:oMath>
        <m:r>
          <w:rPr>
            <w:rFonts w:ascii="Cambria Math" w:hAnsi="Cambria Math" w:cs="Times New Roman"/>
            <w:color w:val="0D0D0D" w:themeColor="text1" w:themeTint="F2"/>
          </w:rPr>
          <m:t>-17.0</m:t>
        </m:r>
        <m:r>
          <w:rPr>
            <w:rFonts w:ascii="Cambria Math" w:hAnsi="Cambria Math" w:cs="Times New Roman"/>
            <w:color w:val="0D0D0D" w:themeColor="text1" w:themeTint="F2"/>
          </w:rPr>
          <m:t>9</m:t>
        </m:r>
        <m:r>
          <w:rPr>
            <w:rFonts w:ascii="Cambria Math" w:hAnsi="Cambria Math" w:cs="Times New Roman"/>
            <w:color w:val="0D0D0D" w:themeColor="text1" w:themeTint="F2"/>
          </w:rPr>
          <m:t xml:space="preserve"> kcal/mol</m:t>
        </m:r>
      </m:oMath>
      <w:r w:rsidRPr="007E5190">
        <w:rPr>
          <w:rFonts w:ascii="Times New Roman" w:hAnsi="Times New Roman" w:cs="Times New Roman"/>
          <w:color w:val="0D0D0D" w:themeColor="text1" w:themeTint="F2"/>
        </w:rPr>
        <w:t xml:space="preserve"> (</w:t>
      </w:r>
      <w:r w:rsidR="00082CED" w:rsidRPr="007E5190">
        <w:rPr>
          <w:rFonts w:ascii="Times New Roman" w:hAnsi="Times New Roman" w:cs="Times New Roman"/>
          <w:color w:val="4472C4" w:themeColor="accent1"/>
        </w:rPr>
        <w:fldChar w:fldCharType="begin"/>
      </w:r>
      <w:r w:rsidR="00082CED" w:rsidRPr="007E5190">
        <w:rPr>
          <w:rFonts w:ascii="Times New Roman" w:hAnsi="Times New Roman" w:cs="Times New Roman"/>
          <w:color w:val="4472C4" w:themeColor="accent1"/>
        </w:rPr>
        <w:instrText xml:space="preserve"> REF _Ref213082033 \h </w:instrText>
      </w:r>
      <w:r w:rsidR="00F25C91" w:rsidRPr="007E5190">
        <w:rPr>
          <w:rFonts w:ascii="Times New Roman" w:hAnsi="Times New Roman" w:cs="Times New Roman"/>
          <w:color w:val="4472C4" w:themeColor="accent1"/>
        </w:rPr>
        <w:instrText xml:space="preserve"> \* MERGEFORMAT </w:instrText>
      </w:r>
      <w:r w:rsidR="00082CED" w:rsidRPr="007E5190">
        <w:rPr>
          <w:rFonts w:ascii="Times New Roman" w:hAnsi="Times New Roman" w:cs="Times New Roman"/>
          <w:color w:val="4472C4" w:themeColor="accent1"/>
        </w:rPr>
      </w:r>
      <w:r w:rsidR="00082CED" w:rsidRPr="007E5190">
        <w:rPr>
          <w:rFonts w:ascii="Times New Roman" w:hAnsi="Times New Roman" w:cs="Times New Roman"/>
          <w:color w:val="4472C4" w:themeColor="accent1"/>
        </w:rPr>
        <w:fldChar w:fldCharType="separate"/>
      </w:r>
      <w:r w:rsidR="00082CED" w:rsidRPr="007E5190">
        <w:rPr>
          <w:rFonts w:ascii="Times New Roman" w:hAnsi="Times New Roman" w:cs="Times New Roman"/>
          <w:color w:val="4472C4" w:themeColor="accent1"/>
        </w:rPr>
        <w:t xml:space="preserve">Table </w:t>
      </w:r>
      <w:r w:rsidR="00082CED" w:rsidRPr="007E5190">
        <w:rPr>
          <w:rFonts w:ascii="Times New Roman" w:hAnsi="Times New Roman" w:cs="Times New Roman"/>
          <w:noProof/>
          <w:color w:val="4472C4" w:themeColor="accent1"/>
        </w:rPr>
        <w:t>8</w:t>
      </w:r>
      <w:r w:rsidR="00082CED" w:rsidRPr="007E5190">
        <w:rPr>
          <w:rFonts w:ascii="Times New Roman" w:hAnsi="Times New Roman" w:cs="Times New Roman"/>
          <w:color w:val="4472C4" w:themeColor="accent1"/>
        </w:rPr>
        <w:fldChar w:fldCharType="end"/>
      </w:r>
      <w:r w:rsidRPr="007E5190">
        <w:rPr>
          <w:rFonts w:ascii="Times New Roman" w:hAnsi="Times New Roman" w:cs="Times New Roman"/>
          <w:color w:val="0D0D0D" w:themeColor="text1" w:themeTint="F2"/>
        </w:rPr>
        <w:t xml:space="preserve">). This binding was significantly stronger than the original positive control, Oleanolic Acid (-10.88 kcal/mol), and the initial docking hit, the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(-9.65 kcal/mol). This discrepancy highlights the critical limitations of static docking, which fails to account for protein flexibility, solvation, and the subtle entropic effects that govern binding </w:t>
      </w:r>
      <w:r w:rsidR="00332F2F" w:rsidRPr="007E5190">
        <w:rPr>
          <w:rFonts w:ascii="Times New Roman" w:hAnsi="Times New Roman" w:cs="Times New Roman"/>
          <w:color w:val="0D0D0D" w:themeColor="text1" w:themeTint="F2"/>
        </w:rPr>
        <w:fldChar w:fldCharType="begin"/>
      </w:r>
      <w:r w:rsidR="00332F2F" w:rsidRPr="007E5190">
        <w:rPr>
          <w:rFonts w:ascii="Times New Roman" w:hAnsi="Times New Roman" w:cs="Times New Roman"/>
          <w:color w:val="0D0D0D" w:themeColor="text1" w:themeTint="F2"/>
        </w:rPr>
        <w:instrText xml:space="preserve"> ADDIN ZOTERO_ITEM CSL_CITATION {"citationID":"XmYPzSHv","properties":{"formattedCitation":"[21\\uc0\\u8211{}23]","plainCitation":"[21–23]","noteIndex":0},"citationItems":[{"id":62,"uris":["http://zotero.org/users/local/GoHQ98fS/items/WXFESC9S"],"itemData":{"id":62,"type":"article-journal","container-title":"Journal of Medicinal Chemistry","DOI":"10.1021/acs.jmedchem.5b01684","ISSN":"0022-2623, 1520-4804","issue":"9","journalAbbreviation":"J. Med. Chem.","language":"en","license":"http://pubs.acs.org/page/policy/authorchoice_termsofuse.html","page":"4035-4061","source":"DOI.org (Crossref)","title":"Role of Molecular Dynamics and Related Methods in Drug Discovery","URL":"https://pubs.acs.org/doi/10.1021/acs.jmedchem.5b01684","volume":"59","author":[{"family":"De Vivo","given":"Marco"},{"family":"Masetti","given":"Matteo"},{"family":"Bottegoni","given":"Giovanni"},{"family":"Cavalli","given":"Andrea"}],"accessed":{"date-parts":[["2025",11,1]]},"issued":{"date-parts":[["2016",5,12]]}}},{"id":169,"uris":["http://zotero.org/users/local/GoHQ98fS/items/9QRQDNKZ"],"itemData":{"id":169,"type":"article-journal","container-title":"Expert Opinion on Drug Discovery","DOI":"10.1517/17460441.2015.1032936","ISSN":"1746-0441, 1746-045X","issue":"5","journalAbbreviation":"Expert Opinion on Drug Discovery","language":"en","page":"449-461","source":"DOI.org (Crossref)","title":"The MM/PBSA and MM/GBSA methods to estimate ligand-binding affinities","URL":"http://www.tandfonline.com/doi/full/10.1517/17460441.2015.1032936","volume":"10","author":[{"family":"Genheden","given":"Samuel"},{"family":"Ryde","given":"Ulf"}],"accessed":{"date-parts":[["2025",11,2]]},"issued":{"date-parts":[["2015",5,4]]}}},{"id":171,"uris":["http://zotero.org/users/local/GoHQ98fS/items/HLNA7MLT"],"itemData":{"id":171,"type":"article-journal","container-title":"Chemical Reviews","DOI":"10.1021/acs.chemrev.9b00055","ISSN":"0009-2665","issue":"16","journalAbbreviation":"Chem. Rev.","note":"publisher: American Chemical Society","page":"9478-9508","title":"End-Point Binding Free Energy Calculation with MM/PBSA and MM/GBSA: Strategies and Applications in Drug Design","URL":"https://doi.org/10.1021/acs.chemrev.9b00055","volume":"119","author":[{"family":"Wang","given":"Ercheng"},{"family":"Sun","given":"Huiyong"},{"family":"Wang","given":"Junmei"},{"family":"Wang","given":"Zhe"},{"family":"Liu","given":"Hui"},{"family":"Zhang","given":"John Z. H."},{"family":"Hou","given":"Tingjun"}],"issued":{"date-parts":[["2019",8,28]]}}}],"schema":"https://github.com/citation-style-language/schema/raw/master/csl-citation.json"} </w:instrText>
      </w:r>
      <w:r w:rsidR="00332F2F" w:rsidRPr="007E5190">
        <w:rPr>
          <w:rFonts w:ascii="Times New Roman" w:hAnsi="Times New Roman" w:cs="Times New Roman"/>
          <w:color w:val="0D0D0D" w:themeColor="text1" w:themeTint="F2"/>
        </w:rPr>
        <w:fldChar w:fldCharType="separate"/>
      </w:r>
      <w:r w:rsidR="00332F2F" w:rsidRPr="007E5190">
        <w:rPr>
          <w:rFonts w:ascii="Times New Roman" w:hAnsi="Times New Roman" w:cs="Times New Roman"/>
          <w:color w:val="0D0D0D" w:themeColor="text1" w:themeTint="F2"/>
          <w:kern w:val="0"/>
        </w:rPr>
        <w:t>[21–23]</w:t>
      </w:r>
      <w:r w:rsidR="00332F2F"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 It proves the essential value of our multi-step validation workflow for correctly identifying the true lead compound from a pool of promising hits.</w:t>
      </w:r>
    </w:p>
    <w:p w14:paraId="6727026D" w14:textId="5B757398" w:rsidR="00AE4F0D" w:rsidRPr="007E5190" w:rsidRDefault="009157B4" w:rsidP="00082CED">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This new ranking is not an anomaly; it is strongly supported by all other biophysical and quantum-chemical analyses. The Lupeol analogue, which recorded the w</w:t>
      </w:r>
      <w:r w:rsidR="004C1A59">
        <w:rPr>
          <w:rFonts w:ascii="Times New Roman" w:hAnsi="Times New Roman" w:cs="Times New Roman"/>
          <w:color w:val="0D0D0D" w:themeColor="text1" w:themeTint="F2"/>
        </w:rPr>
        <w:t>eakest</w:t>
      </w:r>
      <w:r w:rsidRPr="007E5190">
        <w:rPr>
          <w:rFonts w:ascii="Times New Roman" w:hAnsi="Times New Roman" w:cs="Times New Roman"/>
          <w:color w:val="0D0D0D" w:themeColor="text1" w:themeTint="F2"/>
        </w:rPr>
        <w:t xml:space="preserve"> binding free energy (-9.3</w:t>
      </w:r>
      <w:r w:rsidR="00F02203">
        <w:rPr>
          <w:rFonts w:ascii="Times New Roman" w:hAnsi="Times New Roman" w:cs="Times New Roman"/>
          <w:color w:val="0D0D0D" w:themeColor="text1" w:themeTint="F2"/>
        </w:rPr>
        <w:t>3</w:t>
      </w:r>
      <w:r w:rsidRPr="007E5190">
        <w:rPr>
          <w:rFonts w:ascii="Times New Roman" w:hAnsi="Times New Roman" w:cs="Times New Roman"/>
          <w:color w:val="0D0D0D" w:themeColor="text1" w:themeTint="F2"/>
        </w:rPr>
        <w:t xml:space="preserve"> kcal/mol</w:t>
      </w:r>
      <w:r w:rsidR="00082CED" w:rsidRPr="007E5190">
        <w:rPr>
          <w:rFonts w:ascii="Times New Roman" w:hAnsi="Times New Roman" w:cs="Times New Roman"/>
          <w:color w:val="0D0D0D" w:themeColor="text1" w:themeTint="F2"/>
        </w:rPr>
        <w:t xml:space="preserve">, </w:t>
      </w:r>
      <w:r w:rsidR="00082CED" w:rsidRPr="007E5190">
        <w:rPr>
          <w:rFonts w:ascii="Times New Roman" w:hAnsi="Times New Roman" w:cs="Times New Roman"/>
          <w:color w:val="4472C4" w:themeColor="accent1"/>
        </w:rPr>
        <w:fldChar w:fldCharType="begin"/>
      </w:r>
      <w:r w:rsidR="00082CED" w:rsidRPr="007E5190">
        <w:rPr>
          <w:rFonts w:ascii="Times New Roman" w:hAnsi="Times New Roman" w:cs="Times New Roman"/>
          <w:color w:val="4472C4" w:themeColor="accent1"/>
        </w:rPr>
        <w:instrText xml:space="preserve"> REF _Ref213082033 \h </w:instrText>
      </w:r>
      <w:r w:rsidR="00DE02D0" w:rsidRPr="007E5190">
        <w:rPr>
          <w:rFonts w:ascii="Times New Roman" w:hAnsi="Times New Roman" w:cs="Times New Roman"/>
          <w:color w:val="4472C4" w:themeColor="accent1"/>
        </w:rPr>
        <w:instrText xml:space="preserve"> \* MERGEFORMAT </w:instrText>
      </w:r>
      <w:r w:rsidR="00082CED" w:rsidRPr="007E5190">
        <w:rPr>
          <w:rFonts w:ascii="Times New Roman" w:hAnsi="Times New Roman" w:cs="Times New Roman"/>
          <w:color w:val="4472C4" w:themeColor="accent1"/>
        </w:rPr>
      </w:r>
      <w:r w:rsidR="00082CED" w:rsidRPr="007E5190">
        <w:rPr>
          <w:rFonts w:ascii="Times New Roman" w:hAnsi="Times New Roman" w:cs="Times New Roman"/>
          <w:color w:val="4472C4" w:themeColor="accent1"/>
        </w:rPr>
        <w:fldChar w:fldCharType="separate"/>
      </w:r>
      <w:r w:rsidR="00082CED" w:rsidRPr="007E5190">
        <w:rPr>
          <w:rFonts w:ascii="Times New Roman" w:hAnsi="Times New Roman" w:cs="Times New Roman"/>
          <w:color w:val="4472C4" w:themeColor="accent1"/>
        </w:rPr>
        <w:t xml:space="preserve">Table </w:t>
      </w:r>
      <w:r w:rsidR="00082CED" w:rsidRPr="007E5190">
        <w:rPr>
          <w:rFonts w:ascii="Times New Roman" w:hAnsi="Times New Roman" w:cs="Times New Roman"/>
          <w:noProof/>
          <w:color w:val="4472C4" w:themeColor="accent1"/>
        </w:rPr>
        <w:t>8</w:t>
      </w:r>
      <w:r w:rsidR="00082CED" w:rsidRPr="007E5190">
        <w:rPr>
          <w:rFonts w:ascii="Times New Roman" w:hAnsi="Times New Roman" w:cs="Times New Roman"/>
          <w:color w:val="4472C4" w:themeColor="accent1"/>
        </w:rPr>
        <w:fldChar w:fldCharType="end"/>
      </w:r>
      <w:r w:rsidR="00082CED" w:rsidRPr="007E5190">
        <w:rPr>
          <w:rFonts w:ascii="Times New Roman" w:hAnsi="Times New Roman" w:cs="Times New Roman"/>
          <w:color w:val="0D0D0D" w:themeColor="text1" w:themeTint="F2"/>
        </w:rPr>
        <w:t>)</w:t>
      </w:r>
      <w:r w:rsidR="004C1A59">
        <w:rPr>
          <w:rFonts w:ascii="Times New Roman" w:hAnsi="Times New Roman" w:cs="Times New Roman"/>
          <w:color w:val="0D0D0D" w:themeColor="text1" w:themeTint="F2"/>
        </w:rPr>
        <w:t xml:space="preserve"> </w:t>
      </w:r>
      <w:r w:rsidR="004C1A59">
        <w:rPr>
          <w:rFonts w:ascii="Times New Roman" w:hAnsi="Times New Roman" w:cs="Times New Roman"/>
          <w:color w:val="0D0D0D" w:themeColor="text1" w:themeTint="F2"/>
        </w:rPr>
        <w:t>compared to others</w:t>
      </w:r>
      <w:r w:rsidRPr="007E5190">
        <w:rPr>
          <w:rFonts w:ascii="Times New Roman" w:hAnsi="Times New Roman" w:cs="Times New Roman"/>
          <w:color w:val="0D0D0D" w:themeColor="text1" w:themeTint="F2"/>
        </w:rPr>
        <w:t>, was also the compound that showed almost no stable hydrogen bonds (</w:t>
      </w:r>
      <w:r w:rsidR="00DF75E6" w:rsidRPr="007E5190">
        <w:rPr>
          <w:rFonts w:ascii="Times New Roman" w:hAnsi="Times New Roman" w:cs="Times New Roman"/>
          <w:i/>
          <w:iCs/>
          <w:color w:val="4472C4" w:themeColor="accent1"/>
        </w:rPr>
        <w:fldChar w:fldCharType="begin"/>
      </w:r>
      <w:r w:rsidR="00DF75E6" w:rsidRPr="007E5190">
        <w:rPr>
          <w:rFonts w:ascii="Times New Roman" w:hAnsi="Times New Roman" w:cs="Times New Roman"/>
          <w:color w:val="4472C4" w:themeColor="accent1"/>
        </w:rPr>
        <w:instrText xml:space="preserve"> REF _Ref213159203 \h </w:instrText>
      </w:r>
      <w:r w:rsidR="009603C8" w:rsidRPr="007E5190">
        <w:rPr>
          <w:rFonts w:ascii="Times New Roman" w:hAnsi="Times New Roman" w:cs="Times New Roman"/>
          <w:i/>
          <w:iCs/>
          <w:color w:val="4472C4" w:themeColor="accent1"/>
        </w:rPr>
        <w:instrText xml:space="preserve"> \* MERGEFORMAT </w:instrText>
      </w:r>
      <w:r w:rsidR="00DF75E6" w:rsidRPr="007E5190">
        <w:rPr>
          <w:rFonts w:ascii="Times New Roman" w:hAnsi="Times New Roman" w:cs="Times New Roman"/>
          <w:i/>
          <w:iCs/>
          <w:color w:val="4472C4" w:themeColor="accent1"/>
        </w:rPr>
      </w:r>
      <w:r w:rsidR="00DF75E6" w:rsidRPr="007E5190">
        <w:rPr>
          <w:rFonts w:ascii="Times New Roman" w:hAnsi="Times New Roman" w:cs="Times New Roman"/>
          <w:i/>
          <w:iCs/>
          <w:color w:val="4472C4" w:themeColor="accent1"/>
        </w:rPr>
        <w:fldChar w:fldCharType="separate"/>
      </w:r>
      <w:r w:rsidR="00DF75E6" w:rsidRPr="007E5190">
        <w:rPr>
          <w:rFonts w:ascii="Times New Roman" w:hAnsi="Times New Roman" w:cs="Times New Roman"/>
          <w:i/>
          <w:color w:val="4472C4" w:themeColor="accent1"/>
        </w:rPr>
        <w:t>Intermolecular Interaction Analysis</w:t>
      </w:r>
      <w:r w:rsidR="00DF75E6" w:rsidRPr="007E5190">
        <w:rPr>
          <w:rFonts w:ascii="Times New Roman" w:hAnsi="Times New Roman" w:cs="Times New Roman"/>
          <w:i/>
          <w:iCs/>
          <w:color w:val="4472C4" w:themeColor="accent1"/>
        </w:rPr>
        <w:fldChar w:fldCharType="end"/>
      </w:r>
      <w:r w:rsidR="00082CED" w:rsidRPr="007E5190">
        <w:rPr>
          <w:rFonts w:ascii="Times New Roman" w:hAnsi="Times New Roman" w:cs="Times New Roman"/>
          <w:i/>
          <w:iCs/>
          <w:color w:val="4472C4" w:themeColor="accent1"/>
        </w:rPr>
        <w:t xml:space="preserve">, </w:t>
      </w:r>
      <w:r w:rsidR="00082CED" w:rsidRPr="007E5190">
        <w:rPr>
          <w:rFonts w:ascii="Times New Roman" w:hAnsi="Times New Roman" w:cs="Times New Roman"/>
          <w:i/>
          <w:iCs/>
          <w:color w:val="4472C4" w:themeColor="accent1"/>
        </w:rPr>
        <w:fldChar w:fldCharType="begin"/>
      </w:r>
      <w:r w:rsidR="00082CED" w:rsidRPr="007E5190">
        <w:rPr>
          <w:rFonts w:ascii="Times New Roman" w:hAnsi="Times New Roman" w:cs="Times New Roman"/>
          <w:i/>
          <w:iCs/>
          <w:color w:val="4472C4" w:themeColor="accent1"/>
        </w:rPr>
        <w:instrText xml:space="preserve"> REF _Ref213081521 \h </w:instrText>
      </w:r>
      <w:r w:rsidR="00DE02D0" w:rsidRPr="007E5190">
        <w:rPr>
          <w:rFonts w:ascii="Times New Roman" w:hAnsi="Times New Roman" w:cs="Times New Roman"/>
          <w:i/>
          <w:iCs/>
          <w:color w:val="4472C4" w:themeColor="accent1"/>
        </w:rPr>
        <w:instrText xml:space="preserve"> \* MERGEFORMAT </w:instrText>
      </w:r>
      <w:r w:rsidR="00082CED" w:rsidRPr="007E5190">
        <w:rPr>
          <w:rFonts w:ascii="Times New Roman" w:hAnsi="Times New Roman" w:cs="Times New Roman"/>
          <w:i/>
          <w:iCs/>
          <w:color w:val="4472C4" w:themeColor="accent1"/>
        </w:rPr>
      </w:r>
      <w:r w:rsidR="00082CED" w:rsidRPr="007E5190">
        <w:rPr>
          <w:rFonts w:ascii="Times New Roman" w:hAnsi="Times New Roman" w:cs="Times New Roman"/>
          <w:i/>
          <w:iCs/>
          <w:color w:val="4472C4" w:themeColor="accent1"/>
        </w:rPr>
        <w:fldChar w:fldCharType="separate"/>
      </w:r>
      <w:r w:rsidR="00082CED" w:rsidRPr="007E5190">
        <w:rPr>
          <w:rFonts w:ascii="Times New Roman" w:hAnsi="Times New Roman" w:cs="Times New Roman"/>
          <w:color w:val="4472C4" w:themeColor="accent1"/>
        </w:rPr>
        <w:t xml:space="preserve">Figure </w:t>
      </w:r>
      <w:r w:rsidR="00082CED" w:rsidRPr="007E5190">
        <w:rPr>
          <w:rFonts w:ascii="Times New Roman" w:hAnsi="Times New Roman" w:cs="Times New Roman"/>
          <w:i/>
          <w:iCs/>
          <w:color w:val="4472C4" w:themeColor="accent1"/>
        </w:rPr>
        <w:fldChar w:fldCharType="end"/>
      </w:r>
      <w:r w:rsidR="00BD4226" w:rsidRPr="007E5190">
        <w:rPr>
          <w:rFonts w:ascii="Times New Roman" w:hAnsi="Times New Roman" w:cs="Times New Roman"/>
          <w:color w:val="4472C4" w:themeColor="accent1"/>
        </w:rPr>
        <w:t>8</w:t>
      </w:r>
      <w:r w:rsidRPr="007E5190">
        <w:rPr>
          <w:rFonts w:ascii="Times New Roman" w:hAnsi="Times New Roman" w:cs="Times New Roman"/>
          <w:color w:val="4472C4" w:themeColor="accent1"/>
        </w:rPr>
        <w:t>)</w:t>
      </w:r>
      <w:r w:rsidRPr="007E5190">
        <w:rPr>
          <w:rFonts w:ascii="Times New Roman" w:hAnsi="Times New Roman" w:cs="Times New Roman"/>
          <w:color w:val="0D0D0D" w:themeColor="text1" w:themeTint="F2"/>
        </w:rPr>
        <w:t xml:space="preserve"> and a broad, rugged, high-energy Free Energy Landscape (</w:t>
      </w:r>
      <w:r w:rsidR="00DF75E6" w:rsidRPr="007E5190">
        <w:rPr>
          <w:rFonts w:ascii="Times New Roman" w:hAnsi="Times New Roman" w:cs="Times New Roman"/>
          <w:i/>
          <w:iCs/>
          <w:color w:val="4472C4" w:themeColor="accent1"/>
        </w:rPr>
        <w:fldChar w:fldCharType="begin"/>
      </w:r>
      <w:r w:rsidR="00DF75E6" w:rsidRPr="007E5190">
        <w:rPr>
          <w:rFonts w:ascii="Times New Roman" w:hAnsi="Times New Roman" w:cs="Times New Roman"/>
          <w:color w:val="4472C4" w:themeColor="accent1"/>
        </w:rPr>
        <w:instrText xml:space="preserve"> REF _Ref213159240 \h </w:instrText>
      </w:r>
      <w:r w:rsidR="009603C8" w:rsidRPr="007E5190">
        <w:rPr>
          <w:rFonts w:ascii="Times New Roman" w:hAnsi="Times New Roman" w:cs="Times New Roman"/>
          <w:i/>
          <w:iCs/>
          <w:color w:val="4472C4" w:themeColor="accent1"/>
        </w:rPr>
        <w:instrText xml:space="preserve"> \* MERGEFORMAT </w:instrText>
      </w:r>
      <w:r w:rsidR="00DF75E6" w:rsidRPr="007E5190">
        <w:rPr>
          <w:rFonts w:ascii="Times New Roman" w:hAnsi="Times New Roman" w:cs="Times New Roman"/>
          <w:i/>
          <w:iCs/>
          <w:color w:val="4472C4" w:themeColor="accent1"/>
        </w:rPr>
      </w:r>
      <w:r w:rsidR="00DF75E6" w:rsidRPr="007E5190">
        <w:rPr>
          <w:rFonts w:ascii="Times New Roman" w:hAnsi="Times New Roman" w:cs="Times New Roman"/>
          <w:i/>
          <w:iCs/>
          <w:color w:val="4472C4" w:themeColor="accent1"/>
        </w:rPr>
        <w:fldChar w:fldCharType="separate"/>
      </w:r>
      <w:r w:rsidR="00DF75E6" w:rsidRPr="007E5190">
        <w:rPr>
          <w:rFonts w:ascii="Times New Roman" w:hAnsi="Times New Roman" w:cs="Times New Roman"/>
          <w:i/>
          <w:color w:val="4472C4" w:themeColor="accent1"/>
        </w:rPr>
        <w:t>Principal Component Analysis (PCA) and Free Energy Landscape (FEL)</w:t>
      </w:r>
      <w:r w:rsidR="00DF75E6" w:rsidRPr="007E5190">
        <w:rPr>
          <w:rFonts w:ascii="Times New Roman" w:hAnsi="Times New Roman" w:cs="Times New Roman"/>
          <w:i/>
          <w:iCs/>
          <w:color w:val="4472C4" w:themeColor="accent1"/>
        </w:rPr>
        <w:fldChar w:fldCharType="end"/>
      </w:r>
      <w:r w:rsidR="00DF75E6" w:rsidRPr="007E5190">
        <w:rPr>
          <w:rFonts w:ascii="Times New Roman" w:hAnsi="Times New Roman" w:cs="Times New Roman"/>
          <w:i/>
          <w:iCs/>
          <w:color w:val="4472C4" w:themeColor="accent1"/>
        </w:rPr>
        <w:t xml:space="preserve">, </w:t>
      </w:r>
      <w:r w:rsidR="00082CED" w:rsidRPr="007E5190">
        <w:rPr>
          <w:rFonts w:ascii="Times New Roman" w:hAnsi="Times New Roman" w:cs="Times New Roman"/>
          <w:color w:val="4472C4" w:themeColor="accent1"/>
        </w:rPr>
        <w:fldChar w:fldCharType="begin"/>
      </w:r>
      <w:r w:rsidR="00082CED" w:rsidRPr="007E5190">
        <w:rPr>
          <w:rFonts w:ascii="Times New Roman" w:hAnsi="Times New Roman" w:cs="Times New Roman"/>
          <w:color w:val="4472C4" w:themeColor="accent1"/>
        </w:rPr>
        <w:instrText xml:space="preserve"> REF _Ref213081873 \h </w:instrText>
      </w:r>
      <w:r w:rsidR="00DE02D0" w:rsidRPr="007E5190">
        <w:rPr>
          <w:rFonts w:ascii="Times New Roman" w:hAnsi="Times New Roman" w:cs="Times New Roman"/>
          <w:color w:val="4472C4" w:themeColor="accent1"/>
        </w:rPr>
        <w:instrText xml:space="preserve"> \* MERGEFORMAT </w:instrText>
      </w:r>
      <w:r w:rsidR="00082CED" w:rsidRPr="007E5190">
        <w:rPr>
          <w:rFonts w:ascii="Times New Roman" w:hAnsi="Times New Roman" w:cs="Times New Roman"/>
          <w:color w:val="4472C4" w:themeColor="accent1"/>
        </w:rPr>
      </w:r>
      <w:r w:rsidR="00082CED" w:rsidRPr="007E5190">
        <w:rPr>
          <w:rFonts w:ascii="Times New Roman" w:hAnsi="Times New Roman" w:cs="Times New Roman"/>
          <w:color w:val="4472C4" w:themeColor="accent1"/>
        </w:rPr>
        <w:fldChar w:fldCharType="separate"/>
      </w:r>
      <w:r w:rsidR="00082CED" w:rsidRPr="007E5190">
        <w:rPr>
          <w:rFonts w:ascii="Times New Roman" w:hAnsi="Times New Roman" w:cs="Times New Roman"/>
          <w:color w:val="4472C4" w:themeColor="accent1"/>
        </w:rPr>
        <w:t xml:space="preserve">Figure </w:t>
      </w:r>
      <w:r w:rsidR="00082CED" w:rsidRPr="007E5190">
        <w:rPr>
          <w:rFonts w:ascii="Times New Roman" w:hAnsi="Times New Roman" w:cs="Times New Roman"/>
          <w:noProof/>
          <w:color w:val="4472C4" w:themeColor="accent1"/>
        </w:rPr>
        <w:t>1</w:t>
      </w:r>
      <w:r w:rsidR="00082CED" w:rsidRPr="007E5190">
        <w:rPr>
          <w:rFonts w:ascii="Times New Roman" w:hAnsi="Times New Roman" w:cs="Times New Roman"/>
          <w:color w:val="4472C4" w:themeColor="accent1"/>
        </w:rPr>
        <w:fldChar w:fldCharType="end"/>
      </w:r>
      <w:r w:rsidR="00BD4226" w:rsidRPr="007E5190">
        <w:rPr>
          <w:rFonts w:ascii="Times New Roman" w:hAnsi="Times New Roman" w:cs="Times New Roman"/>
          <w:color w:val="4472C4" w:themeColor="accent1"/>
        </w:rPr>
        <w:t>2</w:t>
      </w:r>
      <w:r w:rsidRPr="007E5190">
        <w:rPr>
          <w:rFonts w:ascii="Times New Roman" w:hAnsi="Times New Roman" w:cs="Times New Roman"/>
          <w:color w:val="0D0D0D" w:themeColor="text1" w:themeTint="F2"/>
        </w:rPr>
        <w:t xml:space="preserve">), proving its dynamic instability. </w:t>
      </w:r>
      <w:r w:rsidR="00664CDB" w:rsidRPr="007E5190">
        <w:rPr>
          <w:rFonts w:ascii="Times New Roman" w:hAnsi="Times New Roman" w:cs="Times New Roman"/>
          <w:color w:val="0D0D0D" w:themeColor="text1" w:themeTint="F2"/>
        </w:rPr>
        <w:t>Its weak binding energy is thus attributed almost entirely to non-polar interactions, which, while shown to be persistent in the intermolecular contacts analysis (</w:t>
      </w:r>
      <w:r w:rsidR="00DF75E6" w:rsidRPr="007E5190">
        <w:rPr>
          <w:rFonts w:ascii="Times New Roman" w:hAnsi="Times New Roman" w:cs="Times New Roman"/>
          <w:i/>
          <w:iCs/>
          <w:color w:val="4472C4" w:themeColor="accent1"/>
        </w:rPr>
        <w:fldChar w:fldCharType="begin"/>
      </w:r>
      <w:r w:rsidR="00DF75E6" w:rsidRPr="007E5190">
        <w:rPr>
          <w:rFonts w:ascii="Times New Roman" w:hAnsi="Times New Roman" w:cs="Times New Roman"/>
          <w:color w:val="4472C4" w:themeColor="accent1"/>
        </w:rPr>
        <w:instrText xml:space="preserve"> REF _Ref213159277 \h </w:instrText>
      </w:r>
      <w:r w:rsidR="009603C8" w:rsidRPr="007E5190">
        <w:rPr>
          <w:rFonts w:ascii="Times New Roman" w:hAnsi="Times New Roman" w:cs="Times New Roman"/>
          <w:i/>
          <w:iCs/>
          <w:color w:val="4472C4" w:themeColor="accent1"/>
        </w:rPr>
        <w:instrText xml:space="preserve"> \* MERGEFORMAT </w:instrText>
      </w:r>
      <w:r w:rsidR="00DF75E6" w:rsidRPr="007E5190">
        <w:rPr>
          <w:rFonts w:ascii="Times New Roman" w:hAnsi="Times New Roman" w:cs="Times New Roman"/>
          <w:i/>
          <w:iCs/>
          <w:color w:val="4472C4" w:themeColor="accent1"/>
        </w:rPr>
      </w:r>
      <w:r w:rsidR="00DF75E6" w:rsidRPr="007E5190">
        <w:rPr>
          <w:rFonts w:ascii="Times New Roman" w:hAnsi="Times New Roman" w:cs="Times New Roman"/>
          <w:i/>
          <w:iCs/>
          <w:color w:val="4472C4" w:themeColor="accent1"/>
        </w:rPr>
        <w:fldChar w:fldCharType="separate"/>
      </w:r>
      <w:r w:rsidR="00DF75E6" w:rsidRPr="007E5190">
        <w:rPr>
          <w:rFonts w:ascii="Times New Roman" w:hAnsi="Times New Roman" w:cs="Times New Roman"/>
          <w:i/>
          <w:color w:val="4472C4" w:themeColor="accent1"/>
        </w:rPr>
        <w:t>Intermolecular Contacts</w:t>
      </w:r>
      <w:r w:rsidR="00DF75E6" w:rsidRPr="007E5190">
        <w:rPr>
          <w:rFonts w:ascii="Times New Roman" w:hAnsi="Times New Roman" w:cs="Times New Roman"/>
          <w:i/>
          <w:iCs/>
          <w:color w:val="4472C4" w:themeColor="accent1"/>
        </w:rPr>
        <w:fldChar w:fldCharType="end"/>
      </w:r>
      <w:r w:rsidR="00082CED" w:rsidRPr="007E5190">
        <w:rPr>
          <w:rFonts w:ascii="Times New Roman" w:hAnsi="Times New Roman" w:cs="Times New Roman"/>
          <w:color w:val="4472C4" w:themeColor="accent1"/>
        </w:rPr>
        <w:t xml:space="preserve">, </w:t>
      </w:r>
      <w:r w:rsidR="00082CED" w:rsidRPr="007E5190">
        <w:rPr>
          <w:rFonts w:ascii="Times New Roman" w:hAnsi="Times New Roman" w:cs="Times New Roman"/>
          <w:color w:val="4472C4" w:themeColor="accent1"/>
        </w:rPr>
        <w:fldChar w:fldCharType="begin"/>
      </w:r>
      <w:r w:rsidR="00082CED" w:rsidRPr="007E5190">
        <w:rPr>
          <w:rFonts w:ascii="Times New Roman" w:hAnsi="Times New Roman" w:cs="Times New Roman"/>
          <w:color w:val="4472C4" w:themeColor="accent1"/>
        </w:rPr>
        <w:instrText xml:space="preserve"> REF _Ref213081555 \h </w:instrText>
      </w:r>
      <w:r w:rsidR="00DE02D0" w:rsidRPr="007E5190">
        <w:rPr>
          <w:rFonts w:ascii="Times New Roman" w:hAnsi="Times New Roman" w:cs="Times New Roman"/>
          <w:color w:val="4472C4" w:themeColor="accent1"/>
        </w:rPr>
        <w:instrText xml:space="preserve"> \* MERGEFORMAT </w:instrText>
      </w:r>
      <w:r w:rsidR="00082CED" w:rsidRPr="007E5190">
        <w:rPr>
          <w:rFonts w:ascii="Times New Roman" w:hAnsi="Times New Roman" w:cs="Times New Roman"/>
          <w:color w:val="4472C4" w:themeColor="accent1"/>
        </w:rPr>
      </w:r>
      <w:r w:rsidR="00082CED" w:rsidRPr="007E5190">
        <w:rPr>
          <w:rFonts w:ascii="Times New Roman" w:hAnsi="Times New Roman" w:cs="Times New Roman"/>
          <w:color w:val="4472C4" w:themeColor="accent1"/>
        </w:rPr>
        <w:fldChar w:fldCharType="separate"/>
      </w:r>
      <w:r w:rsidR="00082CED" w:rsidRPr="007E5190">
        <w:rPr>
          <w:rFonts w:ascii="Times New Roman" w:hAnsi="Times New Roman" w:cs="Times New Roman"/>
          <w:color w:val="4472C4" w:themeColor="accent1"/>
        </w:rPr>
        <w:t xml:space="preserve">Figure </w:t>
      </w:r>
      <w:r w:rsidR="00082CED" w:rsidRPr="007E5190">
        <w:rPr>
          <w:rFonts w:ascii="Times New Roman" w:hAnsi="Times New Roman" w:cs="Times New Roman"/>
          <w:noProof/>
          <w:color w:val="4472C4" w:themeColor="accent1"/>
        </w:rPr>
        <w:t>1</w:t>
      </w:r>
      <w:r w:rsidR="00BD4226" w:rsidRPr="007E5190">
        <w:rPr>
          <w:rFonts w:ascii="Times New Roman" w:hAnsi="Times New Roman" w:cs="Times New Roman"/>
          <w:noProof/>
          <w:color w:val="4472C4" w:themeColor="accent1"/>
        </w:rPr>
        <w:t>0</w:t>
      </w:r>
      <w:r w:rsidR="00082CED" w:rsidRPr="007E5190">
        <w:rPr>
          <w:rFonts w:ascii="Times New Roman" w:hAnsi="Times New Roman" w:cs="Times New Roman"/>
          <w:color w:val="4472C4" w:themeColor="accent1"/>
        </w:rPr>
        <w:fldChar w:fldCharType="end"/>
      </w:r>
      <w:r w:rsidR="00664CDB" w:rsidRPr="007E5190">
        <w:rPr>
          <w:rFonts w:ascii="Times New Roman" w:hAnsi="Times New Roman" w:cs="Times New Roman"/>
          <w:color w:val="0D0D0D" w:themeColor="text1" w:themeTint="F2"/>
        </w:rPr>
        <w:t xml:space="preserve">), were insufficient to confer strong affinity. </w:t>
      </w:r>
      <w:r w:rsidRPr="007E5190">
        <w:rPr>
          <w:rFonts w:ascii="Times New Roman" w:hAnsi="Times New Roman" w:cs="Times New Roman"/>
          <w:color w:val="0D0D0D" w:themeColor="text1" w:themeTint="F2"/>
        </w:rPr>
        <w:t>Conversely, the Hederagenin analogue's superior binding energy is explained by its high chemical reactivity. The DFT analysis (</w:t>
      </w:r>
      <w:r w:rsidR="00DF75E6" w:rsidRPr="007E5190">
        <w:rPr>
          <w:rFonts w:ascii="Times New Roman" w:hAnsi="Times New Roman" w:cs="Times New Roman"/>
          <w:i/>
          <w:iCs/>
          <w:color w:val="4472C4" w:themeColor="accent1"/>
        </w:rPr>
        <w:fldChar w:fldCharType="begin"/>
      </w:r>
      <w:r w:rsidR="00DF75E6" w:rsidRPr="007E5190">
        <w:rPr>
          <w:rFonts w:ascii="Times New Roman" w:hAnsi="Times New Roman" w:cs="Times New Roman"/>
          <w:color w:val="4472C4" w:themeColor="accent1"/>
        </w:rPr>
        <w:instrText xml:space="preserve"> REF _Ref213159300 \h </w:instrText>
      </w:r>
      <w:r w:rsidR="009603C8" w:rsidRPr="007E5190">
        <w:rPr>
          <w:rFonts w:ascii="Times New Roman" w:hAnsi="Times New Roman" w:cs="Times New Roman"/>
          <w:i/>
          <w:iCs/>
          <w:color w:val="4472C4" w:themeColor="accent1"/>
        </w:rPr>
        <w:instrText xml:space="preserve"> \* MERGEFORMAT </w:instrText>
      </w:r>
      <w:r w:rsidR="00DF75E6" w:rsidRPr="007E5190">
        <w:rPr>
          <w:rFonts w:ascii="Times New Roman" w:hAnsi="Times New Roman" w:cs="Times New Roman"/>
          <w:i/>
          <w:iCs/>
          <w:color w:val="4472C4" w:themeColor="accent1"/>
        </w:rPr>
      </w:r>
      <w:r w:rsidR="00DF75E6" w:rsidRPr="007E5190">
        <w:rPr>
          <w:rFonts w:ascii="Times New Roman" w:hAnsi="Times New Roman" w:cs="Times New Roman"/>
          <w:i/>
          <w:iCs/>
          <w:color w:val="4472C4" w:themeColor="accent1"/>
        </w:rPr>
        <w:fldChar w:fldCharType="separate"/>
      </w:r>
      <w:r w:rsidR="00DF75E6" w:rsidRPr="007E5190">
        <w:rPr>
          <w:rFonts w:ascii="Times New Roman" w:hAnsi="Times New Roman" w:cs="Times New Roman"/>
          <w:i/>
          <w:color w:val="4472C4" w:themeColor="accent1"/>
        </w:rPr>
        <w:t>Density Functional Theory (DFT) Analysis</w:t>
      </w:r>
      <w:r w:rsidR="00DF75E6" w:rsidRPr="007E5190">
        <w:rPr>
          <w:rFonts w:ascii="Times New Roman" w:hAnsi="Times New Roman" w:cs="Times New Roman"/>
          <w:i/>
          <w:iCs/>
          <w:color w:val="4472C4" w:themeColor="accent1"/>
        </w:rPr>
        <w:fldChar w:fldCharType="end"/>
      </w:r>
      <w:r w:rsidRPr="007E5190">
        <w:rPr>
          <w:rFonts w:ascii="Times New Roman" w:hAnsi="Times New Roman" w:cs="Times New Roman"/>
          <w:color w:val="0D0D0D" w:themeColor="text1" w:themeTint="F2"/>
        </w:rPr>
        <w:t>) confirmed it has the smallest HOMO-LUMO energy gap (4.92 eV)</w:t>
      </w:r>
      <w:r w:rsidR="00082CED" w:rsidRPr="007E5190">
        <w:rPr>
          <w:rFonts w:ascii="Times New Roman" w:hAnsi="Times New Roman" w:cs="Times New Roman"/>
          <w:color w:val="0D0D0D" w:themeColor="text1" w:themeTint="F2"/>
        </w:rPr>
        <w:t xml:space="preserve"> (</w:t>
      </w:r>
      <w:r w:rsidR="00082CED" w:rsidRPr="007E5190">
        <w:rPr>
          <w:rFonts w:ascii="Times New Roman" w:hAnsi="Times New Roman" w:cs="Times New Roman"/>
          <w:color w:val="4472C4" w:themeColor="accent1"/>
        </w:rPr>
        <w:fldChar w:fldCharType="begin"/>
      </w:r>
      <w:r w:rsidR="00082CED" w:rsidRPr="007E5190">
        <w:rPr>
          <w:rFonts w:ascii="Times New Roman" w:hAnsi="Times New Roman" w:cs="Times New Roman"/>
          <w:color w:val="4472C4" w:themeColor="accent1"/>
        </w:rPr>
        <w:instrText xml:space="preserve"> REF _Ref213082403 \h </w:instrText>
      </w:r>
      <w:r w:rsidR="00DE02D0" w:rsidRPr="007E5190">
        <w:rPr>
          <w:rFonts w:ascii="Times New Roman" w:hAnsi="Times New Roman" w:cs="Times New Roman"/>
          <w:color w:val="4472C4" w:themeColor="accent1"/>
        </w:rPr>
        <w:instrText xml:space="preserve"> \* MERGEFORMAT </w:instrText>
      </w:r>
      <w:r w:rsidR="00082CED" w:rsidRPr="007E5190">
        <w:rPr>
          <w:rFonts w:ascii="Times New Roman" w:hAnsi="Times New Roman" w:cs="Times New Roman"/>
          <w:color w:val="4472C4" w:themeColor="accent1"/>
        </w:rPr>
      </w:r>
      <w:r w:rsidR="00082CED" w:rsidRPr="007E5190">
        <w:rPr>
          <w:rFonts w:ascii="Times New Roman" w:hAnsi="Times New Roman" w:cs="Times New Roman"/>
          <w:color w:val="4472C4" w:themeColor="accent1"/>
        </w:rPr>
        <w:fldChar w:fldCharType="separate"/>
      </w:r>
      <w:r w:rsidR="00082CED" w:rsidRPr="007E5190">
        <w:rPr>
          <w:rFonts w:ascii="Times New Roman" w:hAnsi="Times New Roman" w:cs="Times New Roman"/>
          <w:color w:val="4472C4" w:themeColor="accent1"/>
        </w:rPr>
        <w:t xml:space="preserve">Table </w:t>
      </w:r>
      <w:r w:rsidR="00082CED" w:rsidRPr="007E5190">
        <w:rPr>
          <w:rFonts w:ascii="Times New Roman" w:hAnsi="Times New Roman" w:cs="Times New Roman"/>
          <w:noProof/>
          <w:color w:val="4472C4" w:themeColor="accent1"/>
        </w:rPr>
        <w:t>9</w:t>
      </w:r>
      <w:r w:rsidR="00082CED" w:rsidRPr="007E5190">
        <w:rPr>
          <w:rFonts w:ascii="Times New Roman" w:hAnsi="Times New Roman" w:cs="Times New Roman"/>
          <w:color w:val="4472C4" w:themeColor="accent1"/>
        </w:rPr>
        <w:fldChar w:fldCharType="end"/>
      </w:r>
      <w:r w:rsidR="00082CED" w:rsidRPr="007E5190">
        <w:rPr>
          <w:rFonts w:ascii="Times New Roman" w:hAnsi="Times New Roman" w:cs="Times New Roman"/>
          <w:color w:val="0D0D0D" w:themeColor="text1" w:themeTint="F2"/>
        </w:rPr>
        <w:t>)</w:t>
      </w:r>
      <w:r w:rsidRPr="007E5190">
        <w:rPr>
          <w:rFonts w:ascii="Times New Roman" w:hAnsi="Times New Roman" w:cs="Times New Roman"/>
          <w:color w:val="0D0D0D" w:themeColor="text1" w:themeTint="F2"/>
        </w:rPr>
        <w:t xml:space="preserve">, making it the most potent electron donor/acceptor for binding </w:t>
      </w:r>
      <w:r w:rsidR="001D08CD" w:rsidRPr="007E5190">
        <w:rPr>
          <w:rFonts w:ascii="Times New Roman" w:hAnsi="Times New Roman" w:cs="Times New Roman"/>
          <w:color w:val="0D0D0D" w:themeColor="text1" w:themeTint="F2"/>
        </w:rPr>
        <w:fldChar w:fldCharType="begin"/>
      </w:r>
      <w:r w:rsidR="001D08CD" w:rsidRPr="007E5190">
        <w:rPr>
          <w:rFonts w:ascii="Times New Roman" w:hAnsi="Times New Roman" w:cs="Times New Roman"/>
          <w:color w:val="0D0D0D" w:themeColor="text1" w:themeTint="F2"/>
        </w:rPr>
        <w:instrText xml:space="preserve"> ADDIN ZOTERO_ITEM CSL_CITATION {"citationID":"c2g1QQvb","properties":{"formattedCitation":"[25]","plainCitation":"[25]","noteIndex":0},"citationItems":[{"id":178,"uris":["http://zotero.org/users/local/GoHQ98fS/items/BSSJB8LK"],"itemData":{"id":178,"type":"article-journal","container-title":"Inorganic Chemistry","DOI":"10.1021/ic00277a030","ISSN":"0020-1669, 1520-510X","issue":"4","journalAbbreviation":"Inorg. Chem.","language":"en","page":"734-740","source":"DOI.org (Crossref)","title":"Absolute electronegativity and hardness: application to inorganic chemistry","title-short":"Absolute electronegativity and hardness","URL":"https://pubs.acs.org/doi/abs/10.1021/ic00277a030","volume":"27","author":[{"family":"Pearson","given":"Ralph G."}],"accessed":{"date-parts":[["2025",11,2]]},"issued":{"date-parts":[["1988",2]]}}}],"schema":"https://github.com/citation-style-language/schema/raw/master/csl-citation.json"} </w:instrText>
      </w:r>
      <w:r w:rsidR="001D08CD" w:rsidRPr="007E5190">
        <w:rPr>
          <w:rFonts w:ascii="Times New Roman" w:hAnsi="Times New Roman" w:cs="Times New Roman"/>
          <w:color w:val="0D0D0D" w:themeColor="text1" w:themeTint="F2"/>
        </w:rPr>
        <w:fldChar w:fldCharType="separate"/>
      </w:r>
      <w:r w:rsidR="001D08CD" w:rsidRPr="007E5190">
        <w:rPr>
          <w:rFonts w:ascii="Times New Roman" w:hAnsi="Times New Roman" w:cs="Times New Roman"/>
          <w:color w:val="0D0D0D" w:themeColor="text1" w:themeTint="F2"/>
        </w:rPr>
        <w:t>[25]</w:t>
      </w:r>
      <w:r w:rsidR="001D08CD" w:rsidRPr="007E5190">
        <w:rPr>
          <w:rFonts w:ascii="Times New Roman" w:hAnsi="Times New Roman" w:cs="Times New Roman"/>
          <w:color w:val="0D0D0D" w:themeColor="text1" w:themeTint="F2"/>
        </w:rPr>
        <w:fldChar w:fldCharType="end"/>
      </w:r>
      <w:r w:rsidRPr="007E5190">
        <w:rPr>
          <w:rFonts w:ascii="Times New Roman" w:hAnsi="Times New Roman" w:cs="Times New Roman"/>
          <w:color w:val="0D0D0D" w:themeColor="text1" w:themeTint="F2"/>
        </w:rPr>
        <w:t>.</w:t>
      </w:r>
    </w:p>
    <w:p w14:paraId="24EDA635" w14:textId="2DAC5A15" w:rsidR="009157B4" w:rsidRPr="007E5190" w:rsidRDefault="00200D51" w:rsidP="00082CED">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The Oleanolic Acid control was consistently intermediate in all metrics, from its MM-GBSA score to its DFT energy gap. For the Hederagenin analogue, a strong correlation was observed between its superior final binding energy (MM-GBSA)</w:t>
      </w:r>
      <w:r w:rsidR="009157B4" w:rsidRPr="007E5190">
        <w:rPr>
          <w:rFonts w:ascii="Times New Roman" w:hAnsi="Times New Roman" w:cs="Times New Roman"/>
          <w:color w:val="0D0D0D" w:themeColor="text1" w:themeTint="F2"/>
        </w:rPr>
        <w:t>, dynamic stability (FEL/H-bonds</w:t>
      </w:r>
      <w:r w:rsidR="00082CED" w:rsidRPr="007E5190">
        <w:rPr>
          <w:rFonts w:ascii="Times New Roman" w:hAnsi="Times New Roman" w:cs="Times New Roman"/>
          <w:color w:val="0D0D0D" w:themeColor="text1" w:themeTint="F2"/>
        </w:rPr>
        <w:t xml:space="preserve">, e.g., </w:t>
      </w:r>
      <w:r w:rsidR="00082CED" w:rsidRPr="007E5190">
        <w:rPr>
          <w:rFonts w:ascii="Times New Roman" w:hAnsi="Times New Roman" w:cs="Times New Roman"/>
          <w:color w:val="4472C4" w:themeColor="accent1"/>
        </w:rPr>
        <w:fldChar w:fldCharType="begin"/>
      </w:r>
      <w:r w:rsidR="00082CED" w:rsidRPr="007E5190">
        <w:rPr>
          <w:rFonts w:ascii="Times New Roman" w:hAnsi="Times New Roman" w:cs="Times New Roman"/>
          <w:color w:val="4472C4" w:themeColor="accent1"/>
        </w:rPr>
        <w:instrText xml:space="preserve"> REF _Ref213081521 \h </w:instrText>
      </w:r>
      <w:r w:rsidR="00DE02D0" w:rsidRPr="007E5190">
        <w:rPr>
          <w:rFonts w:ascii="Times New Roman" w:hAnsi="Times New Roman" w:cs="Times New Roman"/>
          <w:color w:val="4472C4" w:themeColor="accent1"/>
        </w:rPr>
        <w:instrText xml:space="preserve"> \* MERGEFORMAT </w:instrText>
      </w:r>
      <w:r w:rsidR="00082CED" w:rsidRPr="007E5190">
        <w:rPr>
          <w:rFonts w:ascii="Times New Roman" w:hAnsi="Times New Roman" w:cs="Times New Roman"/>
          <w:color w:val="4472C4" w:themeColor="accent1"/>
        </w:rPr>
      </w:r>
      <w:r w:rsidR="00082CED" w:rsidRPr="007E5190">
        <w:rPr>
          <w:rFonts w:ascii="Times New Roman" w:hAnsi="Times New Roman" w:cs="Times New Roman"/>
          <w:color w:val="4472C4" w:themeColor="accent1"/>
        </w:rPr>
        <w:fldChar w:fldCharType="separate"/>
      </w:r>
      <w:r w:rsidR="00082CED" w:rsidRPr="007E5190">
        <w:rPr>
          <w:rFonts w:ascii="Times New Roman" w:hAnsi="Times New Roman" w:cs="Times New Roman"/>
          <w:color w:val="4472C4" w:themeColor="accent1"/>
        </w:rPr>
        <w:t xml:space="preserve">Figure </w:t>
      </w:r>
      <w:r w:rsidR="00082CED" w:rsidRPr="007E5190">
        <w:rPr>
          <w:rFonts w:ascii="Times New Roman" w:hAnsi="Times New Roman" w:cs="Times New Roman"/>
          <w:noProof/>
          <w:color w:val="4472C4" w:themeColor="accent1"/>
        </w:rPr>
        <w:t>1</w:t>
      </w:r>
      <w:r w:rsidR="00BD4226" w:rsidRPr="007E5190">
        <w:rPr>
          <w:rFonts w:ascii="Times New Roman" w:hAnsi="Times New Roman" w:cs="Times New Roman"/>
          <w:noProof/>
          <w:color w:val="4472C4" w:themeColor="accent1"/>
        </w:rPr>
        <w:t>2</w:t>
      </w:r>
      <w:r w:rsidR="00082CED" w:rsidRPr="007E5190">
        <w:rPr>
          <w:rFonts w:ascii="Times New Roman" w:hAnsi="Times New Roman" w:cs="Times New Roman"/>
          <w:color w:val="4472C4" w:themeColor="accent1"/>
        </w:rPr>
        <w:fldChar w:fldCharType="end"/>
      </w:r>
      <w:r w:rsidR="00082CED" w:rsidRPr="007E5190">
        <w:rPr>
          <w:rFonts w:ascii="Times New Roman" w:hAnsi="Times New Roman" w:cs="Times New Roman"/>
          <w:color w:val="0D0D0D" w:themeColor="text1" w:themeTint="F2"/>
        </w:rPr>
        <w:t xml:space="preserve"> &amp; </w:t>
      </w:r>
      <w:r w:rsidR="00082CED" w:rsidRPr="007E5190">
        <w:rPr>
          <w:rFonts w:ascii="Times New Roman" w:hAnsi="Times New Roman" w:cs="Times New Roman"/>
          <w:color w:val="4472C4" w:themeColor="accent1"/>
        </w:rPr>
        <w:fldChar w:fldCharType="begin"/>
      </w:r>
      <w:r w:rsidR="00082CED" w:rsidRPr="007E5190">
        <w:rPr>
          <w:rFonts w:ascii="Times New Roman" w:hAnsi="Times New Roman" w:cs="Times New Roman"/>
          <w:color w:val="4472C4" w:themeColor="accent1"/>
        </w:rPr>
        <w:instrText xml:space="preserve"> REF _Ref213081873 \h </w:instrText>
      </w:r>
      <w:r w:rsidR="00DE02D0" w:rsidRPr="007E5190">
        <w:rPr>
          <w:rFonts w:ascii="Times New Roman" w:hAnsi="Times New Roman" w:cs="Times New Roman"/>
          <w:color w:val="4472C4" w:themeColor="accent1"/>
        </w:rPr>
        <w:instrText xml:space="preserve"> \* MERGEFORMAT </w:instrText>
      </w:r>
      <w:r w:rsidR="00082CED" w:rsidRPr="007E5190">
        <w:rPr>
          <w:rFonts w:ascii="Times New Roman" w:hAnsi="Times New Roman" w:cs="Times New Roman"/>
          <w:color w:val="4472C4" w:themeColor="accent1"/>
        </w:rPr>
      </w:r>
      <w:r w:rsidR="00082CED" w:rsidRPr="007E5190">
        <w:rPr>
          <w:rFonts w:ascii="Times New Roman" w:hAnsi="Times New Roman" w:cs="Times New Roman"/>
          <w:color w:val="4472C4" w:themeColor="accent1"/>
        </w:rPr>
        <w:fldChar w:fldCharType="separate"/>
      </w:r>
      <w:r w:rsidR="00082CED" w:rsidRPr="007E5190">
        <w:rPr>
          <w:rFonts w:ascii="Times New Roman" w:hAnsi="Times New Roman" w:cs="Times New Roman"/>
          <w:color w:val="4472C4" w:themeColor="accent1"/>
        </w:rPr>
        <w:t xml:space="preserve">Figure </w:t>
      </w:r>
      <w:r w:rsidR="00BD4226" w:rsidRPr="007E5190">
        <w:rPr>
          <w:rFonts w:ascii="Times New Roman" w:hAnsi="Times New Roman" w:cs="Times New Roman"/>
          <w:color w:val="4472C4" w:themeColor="accent1"/>
        </w:rPr>
        <w:t>8</w:t>
      </w:r>
      <w:r w:rsidR="00082CED" w:rsidRPr="007E5190">
        <w:rPr>
          <w:rFonts w:ascii="Times New Roman" w:hAnsi="Times New Roman" w:cs="Times New Roman"/>
          <w:color w:val="4472C4" w:themeColor="accent1"/>
        </w:rPr>
        <w:fldChar w:fldCharType="end"/>
      </w:r>
      <w:r w:rsidR="009157B4" w:rsidRPr="007E5190">
        <w:rPr>
          <w:rFonts w:ascii="Times New Roman" w:hAnsi="Times New Roman" w:cs="Times New Roman"/>
          <w:color w:val="0D0D0D" w:themeColor="text1" w:themeTint="F2"/>
        </w:rPr>
        <w:t>), and chemical reactivity (</w:t>
      </w:r>
      <w:r w:rsidR="009157B4" w:rsidRPr="007E5190">
        <w:rPr>
          <w:rFonts w:ascii="Times New Roman" w:hAnsi="Times New Roman" w:cs="Times New Roman"/>
        </w:rPr>
        <w:t>DFT</w:t>
      </w:r>
      <w:r w:rsidR="00082CED" w:rsidRPr="007E5190">
        <w:rPr>
          <w:rFonts w:ascii="Times New Roman" w:hAnsi="Times New Roman" w:cs="Times New Roman"/>
        </w:rPr>
        <w:t xml:space="preserve">, </w:t>
      </w:r>
      <w:r w:rsidR="00082CED" w:rsidRPr="007E5190">
        <w:rPr>
          <w:rFonts w:ascii="Times New Roman" w:hAnsi="Times New Roman" w:cs="Times New Roman"/>
          <w:color w:val="4472C4" w:themeColor="accent1"/>
        </w:rPr>
        <w:fldChar w:fldCharType="begin"/>
      </w:r>
      <w:r w:rsidR="00082CED" w:rsidRPr="007E5190">
        <w:rPr>
          <w:rFonts w:ascii="Times New Roman" w:hAnsi="Times New Roman" w:cs="Times New Roman"/>
          <w:color w:val="4472C4" w:themeColor="accent1"/>
        </w:rPr>
        <w:instrText xml:space="preserve"> REF _Ref213082403 \h </w:instrText>
      </w:r>
      <w:r w:rsidR="00DE02D0" w:rsidRPr="007E5190">
        <w:rPr>
          <w:rFonts w:ascii="Times New Roman" w:hAnsi="Times New Roman" w:cs="Times New Roman"/>
          <w:color w:val="4472C4" w:themeColor="accent1"/>
        </w:rPr>
        <w:instrText xml:space="preserve"> \* MERGEFORMAT </w:instrText>
      </w:r>
      <w:r w:rsidR="00082CED" w:rsidRPr="007E5190">
        <w:rPr>
          <w:rFonts w:ascii="Times New Roman" w:hAnsi="Times New Roman" w:cs="Times New Roman"/>
          <w:color w:val="4472C4" w:themeColor="accent1"/>
        </w:rPr>
      </w:r>
      <w:r w:rsidR="00082CED" w:rsidRPr="007E5190">
        <w:rPr>
          <w:rFonts w:ascii="Times New Roman" w:hAnsi="Times New Roman" w:cs="Times New Roman"/>
          <w:color w:val="4472C4" w:themeColor="accent1"/>
        </w:rPr>
        <w:fldChar w:fldCharType="separate"/>
      </w:r>
      <w:r w:rsidR="00082CED" w:rsidRPr="007E5190">
        <w:rPr>
          <w:rFonts w:ascii="Times New Roman" w:hAnsi="Times New Roman" w:cs="Times New Roman"/>
          <w:color w:val="4472C4" w:themeColor="accent1"/>
        </w:rPr>
        <w:t xml:space="preserve">Table </w:t>
      </w:r>
      <w:r w:rsidR="00082CED" w:rsidRPr="007E5190">
        <w:rPr>
          <w:rFonts w:ascii="Times New Roman" w:hAnsi="Times New Roman" w:cs="Times New Roman"/>
          <w:noProof/>
          <w:color w:val="4472C4" w:themeColor="accent1"/>
        </w:rPr>
        <w:t>9</w:t>
      </w:r>
      <w:r w:rsidR="00082CED" w:rsidRPr="007E5190">
        <w:rPr>
          <w:rFonts w:ascii="Times New Roman" w:hAnsi="Times New Roman" w:cs="Times New Roman"/>
          <w:color w:val="4472C4" w:themeColor="accent1"/>
        </w:rPr>
        <w:fldChar w:fldCharType="end"/>
      </w:r>
      <w:r w:rsidR="009157B4" w:rsidRPr="007E5190">
        <w:rPr>
          <w:rFonts w:ascii="Times New Roman" w:hAnsi="Times New Roman" w:cs="Times New Roman"/>
          <w:color w:val="0D0D0D" w:themeColor="text1" w:themeTint="F2"/>
        </w:rPr>
        <w:t xml:space="preserve">) </w:t>
      </w:r>
      <w:r w:rsidR="00014292" w:rsidRPr="007E5190">
        <w:rPr>
          <w:rFonts w:ascii="Times New Roman" w:hAnsi="Times New Roman" w:cs="Times New Roman"/>
          <w:color w:val="0D0D0D" w:themeColor="text1" w:themeTint="F2"/>
        </w:rPr>
        <w:t>providing</w:t>
      </w:r>
      <w:r w:rsidR="009157B4" w:rsidRPr="007E5190">
        <w:rPr>
          <w:rFonts w:ascii="Times New Roman" w:hAnsi="Times New Roman" w:cs="Times New Roman"/>
          <w:color w:val="0D0D0D" w:themeColor="text1" w:themeTint="F2"/>
        </w:rPr>
        <w:t xml:space="preserve"> a robust, self-consistent validation of the Hederagenin analogue as the true lead candidate.</w:t>
      </w:r>
      <w:r w:rsidR="00551EBD" w:rsidRPr="007E5190">
        <w:rPr>
          <w:rFonts w:ascii="Times New Roman" w:hAnsi="Times New Roman" w:cs="Times New Roman"/>
          <w:color w:val="0D0D0D" w:themeColor="text1" w:themeTint="F2"/>
        </w:rPr>
        <w:t xml:space="preserve"> However, this correlation was not universal across all compounds, as detailed below.</w:t>
      </w:r>
    </w:p>
    <w:p w14:paraId="56FBB625" w14:textId="1F62E402" w:rsidR="00505211" w:rsidRPr="007E5190" w:rsidRDefault="00505211" w:rsidP="00505211">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It is noteworthy that while the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exhibited a low HOMO-LUMO gap (4.94 eV), suggesting high chemical reactivity comparable to the Hederagenin analogue (4.92 eV)</w:t>
      </w:r>
      <w:r w:rsidR="00A31BD0" w:rsidRPr="007E5190">
        <w:rPr>
          <w:rFonts w:ascii="Times New Roman" w:hAnsi="Times New Roman" w:cs="Times New Roman"/>
          <w:color w:val="0D0D0D" w:themeColor="text1" w:themeTint="F2"/>
        </w:rPr>
        <w:t xml:space="preserve"> (</w:t>
      </w:r>
      <w:r w:rsidR="00A31BD0" w:rsidRPr="007E5190">
        <w:rPr>
          <w:rFonts w:ascii="Times New Roman" w:hAnsi="Times New Roman" w:cs="Times New Roman"/>
          <w:color w:val="4472C4" w:themeColor="accent1"/>
        </w:rPr>
        <w:fldChar w:fldCharType="begin"/>
      </w:r>
      <w:r w:rsidR="00A31BD0" w:rsidRPr="007E5190">
        <w:rPr>
          <w:rFonts w:ascii="Times New Roman" w:hAnsi="Times New Roman" w:cs="Times New Roman"/>
          <w:color w:val="4472C4" w:themeColor="accent1"/>
        </w:rPr>
        <w:instrText xml:space="preserve"> REF _Ref213082403 \h  \* MERGEFORMAT </w:instrText>
      </w:r>
      <w:r w:rsidR="00A31BD0" w:rsidRPr="007E5190">
        <w:rPr>
          <w:rFonts w:ascii="Times New Roman" w:hAnsi="Times New Roman" w:cs="Times New Roman"/>
          <w:color w:val="4472C4" w:themeColor="accent1"/>
        </w:rPr>
      </w:r>
      <w:r w:rsidR="00A31BD0" w:rsidRPr="007E5190">
        <w:rPr>
          <w:rFonts w:ascii="Times New Roman" w:hAnsi="Times New Roman" w:cs="Times New Roman"/>
          <w:color w:val="4472C4" w:themeColor="accent1"/>
        </w:rPr>
        <w:fldChar w:fldCharType="separate"/>
      </w:r>
      <w:r w:rsidR="00A31BD0" w:rsidRPr="007E5190">
        <w:rPr>
          <w:rFonts w:ascii="Times New Roman" w:hAnsi="Times New Roman" w:cs="Times New Roman"/>
          <w:color w:val="4472C4" w:themeColor="accent1"/>
        </w:rPr>
        <w:t xml:space="preserve">Table </w:t>
      </w:r>
      <w:r w:rsidR="00A31BD0" w:rsidRPr="007E5190">
        <w:rPr>
          <w:rFonts w:ascii="Times New Roman" w:hAnsi="Times New Roman" w:cs="Times New Roman"/>
          <w:noProof/>
          <w:color w:val="4472C4" w:themeColor="accent1"/>
        </w:rPr>
        <w:t>9</w:t>
      </w:r>
      <w:r w:rsidR="00A31BD0" w:rsidRPr="007E5190">
        <w:rPr>
          <w:rFonts w:ascii="Times New Roman" w:hAnsi="Times New Roman" w:cs="Times New Roman"/>
          <w:color w:val="4472C4" w:themeColor="accent1"/>
        </w:rPr>
        <w:fldChar w:fldCharType="end"/>
      </w:r>
      <w:r w:rsidR="00A31BD0" w:rsidRPr="007E5190">
        <w:rPr>
          <w:rFonts w:ascii="Times New Roman" w:hAnsi="Times New Roman" w:cs="Times New Roman"/>
          <w:color w:val="0D0D0D" w:themeColor="text1" w:themeTint="F2"/>
        </w:rPr>
        <w:t>)</w:t>
      </w:r>
      <w:r w:rsidRPr="007E5190">
        <w:rPr>
          <w:rFonts w:ascii="Times New Roman" w:hAnsi="Times New Roman" w:cs="Times New Roman"/>
          <w:color w:val="0D0D0D" w:themeColor="text1" w:themeTint="F2"/>
        </w:rPr>
        <w:t>, its calculated binding free energy (</w:t>
      </w:r>
      <m:oMath>
        <m:r>
          <m:rPr>
            <m:sty m:val="p"/>
          </m:rPr>
          <w:rPr>
            <w:rFonts w:ascii="Cambria Math" w:hAnsi="Cambria Math" w:cs="Times New Roman"/>
            <w:color w:val="0D0D0D" w:themeColor="text1" w:themeTint="F2"/>
          </w:rPr>
          <m:t>Δ</m:t>
        </m:r>
        <m:sSub>
          <m:sSubPr>
            <m:ctrlPr>
              <w:rPr>
                <w:rFonts w:ascii="Cambria Math" w:hAnsi="Cambria Math" w:cs="Times New Roman"/>
                <w:color w:val="0D0D0D" w:themeColor="text1" w:themeTint="F2"/>
              </w:rPr>
            </m:ctrlPr>
          </m:sSubPr>
          <m:e>
            <m:r>
              <m:rPr>
                <m:sty m:val="p"/>
              </m:rPr>
              <w:rPr>
                <w:rFonts w:ascii="Cambria Math" w:hAnsi="Cambria Math" w:cs="Times New Roman"/>
                <w:color w:val="0D0D0D" w:themeColor="text1" w:themeTint="F2"/>
              </w:rPr>
              <m:t>G</m:t>
            </m:r>
          </m:e>
          <m:sub>
            <m:r>
              <m:rPr>
                <m:sty m:val="p"/>
              </m:rPr>
              <w:rPr>
                <w:rFonts w:ascii="Cambria Math" w:hAnsi="Cambria Math" w:cs="Times New Roman"/>
                <w:color w:val="0D0D0D" w:themeColor="text1" w:themeTint="F2"/>
              </w:rPr>
              <m:t>bind</m:t>
            </m:r>
          </m:sub>
        </m:sSub>
      </m:oMath>
      <w:r w:rsidRPr="007E5190">
        <w:rPr>
          <w:rFonts w:ascii="Times New Roman" w:hAnsi="Times New Roman" w:cs="Times New Roman"/>
          <w:color w:val="0D0D0D" w:themeColor="text1" w:themeTint="F2"/>
        </w:rPr>
        <w:t>) was significantly less favorable</w:t>
      </w:r>
      <w:r w:rsidR="001E0FB9" w:rsidRPr="007E5190">
        <w:rPr>
          <w:rFonts w:ascii="Times New Roman" w:hAnsi="Times New Roman" w:cs="Times New Roman"/>
          <w:color w:val="0D0D0D" w:themeColor="text1" w:themeTint="F2"/>
        </w:rPr>
        <w:t xml:space="preserve"> (-9.65 kcal/mol) (</w:t>
      </w:r>
      <w:r w:rsidR="001E0FB9" w:rsidRPr="007E5190">
        <w:rPr>
          <w:rFonts w:ascii="Times New Roman" w:hAnsi="Times New Roman" w:cs="Times New Roman"/>
          <w:color w:val="4472C4" w:themeColor="accent1"/>
        </w:rPr>
        <w:fldChar w:fldCharType="begin"/>
      </w:r>
      <w:r w:rsidR="001E0FB9" w:rsidRPr="007E5190">
        <w:rPr>
          <w:rFonts w:ascii="Times New Roman" w:hAnsi="Times New Roman" w:cs="Times New Roman"/>
          <w:color w:val="4472C4" w:themeColor="accent1"/>
        </w:rPr>
        <w:instrText xml:space="preserve"> REF _Ref213082033 \h  \* MERGEFORMAT </w:instrText>
      </w:r>
      <w:r w:rsidR="001E0FB9" w:rsidRPr="007E5190">
        <w:rPr>
          <w:rFonts w:ascii="Times New Roman" w:hAnsi="Times New Roman" w:cs="Times New Roman"/>
          <w:color w:val="4472C4" w:themeColor="accent1"/>
        </w:rPr>
      </w:r>
      <w:r w:rsidR="001E0FB9" w:rsidRPr="007E5190">
        <w:rPr>
          <w:rFonts w:ascii="Times New Roman" w:hAnsi="Times New Roman" w:cs="Times New Roman"/>
          <w:color w:val="4472C4" w:themeColor="accent1"/>
        </w:rPr>
        <w:fldChar w:fldCharType="separate"/>
      </w:r>
      <w:r w:rsidR="001E0FB9" w:rsidRPr="007E5190">
        <w:rPr>
          <w:rFonts w:ascii="Times New Roman" w:hAnsi="Times New Roman" w:cs="Times New Roman"/>
          <w:color w:val="4472C4" w:themeColor="accent1"/>
        </w:rPr>
        <w:t xml:space="preserve">Table </w:t>
      </w:r>
      <w:r w:rsidR="001E0FB9" w:rsidRPr="007E5190">
        <w:rPr>
          <w:rFonts w:ascii="Times New Roman" w:hAnsi="Times New Roman" w:cs="Times New Roman"/>
          <w:noProof/>
          <w:color w:val="4472C4" w:themeColor="accent1"/>
        </w:rPr>
        <w:t>8</w:t>
      </w:r>
      <w:r w:rsidR="001E0FB9" w:rsidRPr="007E5190">
        <w:rPr>
          <w:rFonts w:ascii="Times New Roman" w:hAnsi="Times New Roman" w:cs="Times New Roman"/>
          <w:color w:val="4472C4" w:themeColor="accent1"/>
        </w:rPr>
        <w:fldChar w:fldCharType="end"/>
      </w:r>
      <w:r w:rsidR="001E0FB9" w:rsidRPr="007E5190">
        <w:rPr>
          <w:rFonts w:ascii="Times New Roman" w:hAnsi="Times New Roman" w:cs="Times New Roman"/>
          <w:color w:val="0D0D0D" w:themeColor="text1" w:themeTint="F2"/>
        </w:rPr>
        <w:t>)</w:t>
      </w:r>
      <w:r w:rsidRPr="007E5190">
        <w:rPr>
          <w:rFonts w:ascii="Times New Roman" w:hAnsi="Times New Roman" w:cs="Times New Roman"/>
          <w:color w:val="0D0D0D" w:themeColor="text1" w:themeTint="F2"/>
        </w:rPr>
        <w:t xml:space="preserve">. This discrepancy highlights the distinction between electronic reactivity and thermodynamic binding stability. While DFT analysis confirms that the </w:t>
      </w:r>
      <w:proofErr w:type="spellStart"/>
      <w:r w:rsidRPr="007E5190">
        <w:rPr>
          <w:rFonts w:ascii="Times New Roman" w:hAnsi="Times New Roman" w:cs="Times New Roman"/>
          <w:color w:val="0D0D0D" w:themeColor="text1" w:themeTint="F2"/>
        </w:rPr>
        <w:t>Maslinic</w:t>
      </w:r>
      <w:proofErr w:type="spellEnd"/>
      <w:r w:rsidRPr="007E5190">
        <w:rPr>
          <w:rFonts w:ascii="Times New Roman" w:hAnsi="Times New Roman" w:cs="Times New Roman"/>
          <w:color w:val="0D0D0D" w:themeColor="text1" w:themeTint="F2"/>
        </w:rPr>
        <w:t xml:space="preserve"> Acid analogue possesses the electronic requisites for interaction, the MM/GBSA analysis reveals that it lacks the optimal steric complementarity and robust Van der Waals networks (</w:t>
      </w:r>
      <m:oMath>
        <m:r>
          <m:rPr>
            <m:sty m:val="p"/>
          </m:rPr>
          <w:rPr>
            <w:rFonts w:ascii="Cambria Math" w:hAnsi="Cambria Math" w:cs="Times New Roman"/>
            <w:color w:val="0D0D0D" w:themeColor="text1" w:themeTint="F2"/>
          </w:rPr>
          <m:t>Δ</m:t>
        </m:r>
        <m:sSub>
          <m:sSubPr>
            <m:ctrlPr>
              <w:rPr>
                <w:rFonts w:ascii="Cambria Math" w:hAnsi="Cambria Math" w:cs="Times New Roman"/>
                <w:color w:val="0D0D0D" w:themeColor="text1" w:themeTint="F2"/>
              </w:rPr>
            </m:ctrlPr>
          </m:sSubPr>
          <m:e>
            <m:r>
              <m:rPr>
                <m:sty m:val="p"/>
              </m:rPr>
              <w:rPr>
                <w:rFonts w:ascii="Cambria Math" w:hAnsi="Cambria Math" w:cs="Times New Roman"/>
                <w:color w:val="0D0D0D" w:themeColor="text1" w:themeTint="F2"/>
              </w:rPr>
              <m:t>E</m:t>
            </m:r>
          </m:e>
          <m:sub>
            <m:r>
              <m:rPr>
                <m:sty m:val="p"/>
              </m:rPr>
              <w:rPr>
                <w:rFonts w:ascii="Cambria Math" w:hAnsi="Cambria Math" w:cs="Times New Roman"/>
                <w:color w:val="0D0D0D" w:themeColor="text1" w:themeTint="F2"/>
              </w:rPr>
              <m:t>vdw</m:t>
            </m:r>
          </m:sub>
        </m:sSub>
      </m:oMath>
      <w:r w:rsidRPr="007E5190">
        <w:rPr>
          <w:rFonts w:ascii="Times New Roman" w:hAnsi="Times New Roman" w:cs="Times New Roman"/>
          <w:color w:val="0D0D0D" w:themeColor="text1" w:themeTint="F2"/>
        </w:rPr>
        <w:t xml:space="preserve">) observed in the Hederagenin analogue complex. </w:t>
      </w:r>
      <w:r w:rsidR="00A23603" w:rsidRPr="007E5190">
        <w:rPr>
          <w:rFonts w:ascii="Times New Roman" w:hAnsi="Times New Roman" w:cs="Times New Roman"/>
          <w:color w:val="0D0D0D" w:themeColor="text1" w:themeTint="F2"/>
        </w:rPr>
        <w:t xml:space="preserve">Specifically, the Van der Waals contribution for the </w:t>
      </w:r>
      <w:proofErr w:type="spellStart"/>
      <w:r w:rsidR="00A23603" w:rsidRPr="007E5190">
        <w:rPr>
          <w:rFonts w:ascii="Times New Roman" w:hAnsi="Times New Roman" w:cs="Times New Roman"/>
          <w:color w:val="0D0D0D" w:themeColor="text1" w:themeTint="F2"/>
        </w:rPr>
        <w:t>Maslinic</w:t>
      </w:r>
      <w:proofErr w:type="spellEnd"/>
      <w:r w:rsidR="00A23603" w:rsidRPr="007E5190">
        <w:rPr>
          <w:rFonts w:ascii="Times New Roman" w:hAnsi="Times New Roman" w:cs="Times New Roman"/>
          <w:color w:val="0D0D0D" w:themeColor="text1" w:themeTint="F2"/>
        </w:rPr>
        <w:t xml:space="preserve"> Acid analogue (-12.33 kcal/mol) is nearly half that of the Hederagenin analogue (-22.80 kcal/mol) (</w:t>
      </w:r>
      <w:r w:rsidR="00A23603" w:rsidRPr="007E5190">
        <w:rPr>
          <w:rFonts w:ascii="Times New Roman" w:hAnsi="Times New Roman" w:cs="Times New Roman"/>
          <w:color w:val="4472C4" w:themeColor="accent1"/>
        </w:rPr>
        <w:fldChar w:fldCharType="begin"/>
      </w:r>
      <w:r w:rsidR="00A23603" w:rsidRPr="007E5190">
        <w:rPr>
          <w:rFonts w:ascii="Times New Roman" w:hAnsi="Times New Roman" w:cs="Times New Roman"/>
          <w:color w:val="4472C4" w:themeColor="accent1"/>
        </w:rPr>
        <w:instrText xml:space="preserve"> REF _Ref213082033 \h  \* MERGEFORMAT </w:instrText>
      </w:r>
      <w:r w:rsidR="00A23603" w:rsidRPr="007E5190">
        <w:rPr>
          <w:rFonts w:ascii="Times New Roman" w:hAnsi="Times New Roman" w:cs="Times New Roman"/>
          <w:color w:val="4472C4" w:themeColor="accent1"/>
        </w:rPr>
      </w:r>
      <w:r w:rsidR="00A23603" w:rsidRPr="007E5190">
        <w:rPr>
          <w:rFonts w:ascii="Times New Roman" w:hAnsi="Times New Roman" w:cs="Times New Roman"/>
          <w:color w:val="4472C4" w:themeColor="accent1"/>
        </w:rPr>
        <w:fldChar w:fldCharType="separate"/>
      </w:r>
      <w:r w:rsidR="00A23603" w:rsidRPr="007E5190">
        <w:rPr>
          <w:rFonts w:ascii="Times New Roman" w:hAnsi="Times New Roman" w:cs="Times New Roman"/>
          <w:color w:val="4472C4" w:themeColor="accent1"/>
        </w:rPr>
        <w:t xml:space="preserve">Table </w:t>
      </w:r>
      <w:r w:rsidR="00A23603" w:rsidRPr="007E5190">
        <w:rPr>
          <w:rFonts w:ascii="Times New Roman" w:hAnsi="Times New Roman" w:cs="Times New Roman"/>
          <w:noProof/>
          <w:color w:val="4472C4" w:themeColor="accent1"/>
        </w:rPr>
        <w:t>8</w:t>
      </w:r>
      <w:r w:rsidR="00A23603" w:rsidRPr="007E5190">
        <w:rPr>
          <w:rFonts w:ascii="Times New Roman" w:hAnsi="Times New Roman" w:cs="Times New Roman"/>
          <w:color w:val="4472C4" w:themeColor="accent1"/>
        </w:rPr>
        <w:fldChar w:fldCharType="end"/>
      </w:r>
      <w:r w:rsidR="00A23603" w:rsidRPr="007E5190">
        <w:rPr>
          <w:rFonts w:ascii="Times New Roman" w:hAnsi="Times New Roman" w:cs="Times New Roman"/>
          <w:color w:val="0D0D0D" w:themeColor="text1" w:themeTint="F2"/>
        </w:rPr>
        <w:t xml:space="preserve">). This suggests that while the compound is chemically reactive, </w:t>
      </w:r>
      <w:proofErr w:type="spellStart"/>
      <w:r w:rsidR="00A23603" w:rsidRPr="007E5190">
        <w:rPr>
          <w:rFonts w:ascii="Times New Roman" w:hAnsi="Times New Roman" w:cs="Times New Roman"/>
          <w:color w:val="0D0D0D" w:themeColor="text1" w:themeTint="F2"/>
        </w:rPr>
        <w:t>desolvation</w:t>
      </w:r>
      <w:proofErr w:type="spellEnd"/>
      <w:r w:rsidR="00A23603" w:rsidRPr="007E5190">
        <w:rPr>
          <w:rFonts w:ascii="Times New Roman" w:hAnsi="Times New Roman" w:cs="Times New Roman"/>
          <w:color w:val="0D0D0D" w:themeColor="text1" w:themeTint="F2"/>
        </w:rPr>
        <w:t xml:space="preserve"> penalties or suboptimal packing within the active site prevent it from achieving the same high-affinity stable state as the Hederagenin analogue."</w:t>
      </w:r>
    </w:p>
    <w:p w14:paraId="068DFA68" w14:textId="04F0FBE1" w:rsidR="00D87526" w:rsidRPr="007E5190" w:rsidRDefault="00D87526" w:rsidP="004D5F3F">
      <w:pPr>
        <w:pStyle w:val="Heading1"/>
        <w:rPr>
          <w:rFonts w:cs="Times New Roman"/>
        </w:rPr>
      </w:pPr>
      <w:r w:rsidRPr="007E5190">
        <w:rPr>
          <w:rFonts w:cs="Times New Roman"/>
        </w:rPr>
        <w:lastRenderedPageBreak/>
        <w:t>Conclusion</w:t>
      </w:r>
    </w:p>
    <w:p w14:paraId="0FCC2D3E" w14:textId="77777777" w:rsidR="00D87526" w:rsidRPr="007E5190" w:rsidRDefault="00D8752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This study successfully implemented a comprehensive </w:t>
      </w:r>
      <w:r w:rsidRPr="007E5190">
        <w:rPr>
          <w:rFonts w:ascii="Times New Roman" w:hAnsi="Times New Roman" w:cs="Times New Roman"/>
          <w:i/>
          <w:iCs/>
          <w:color w:val="0D0D0D" w:themeColor="text1" w:themeTint="F2"/>
        </w:rPr>
        <w:t>in silico</w:t>
      </w:r>
      <w:r w:rsidRPr="007E5190">
        <w:rPr>
          <w:rFonts w:ascii="Times New Roman" w:hAnsi="Times New Roman" w:cs="Times New Roman"/>
          <w:color w:val="0D0D0D" w:themeColor="text1" w:themeTint="F2"/>
        </w:rPr>
        <w:t xml:space="preserve"> workflow, from virtual screening to rigorous biophysical and quantum-chemical validation, to identify novel inhibitors of the </w:t>
      </w:r>
      <w:r w:rsidRPr="007E5190">
        <w:rPr>
          <w:rFonts w:ascii="Times New Roman" w:hAnsi="Times New Roman" w:cs="Times New Roman"/>
          <w:i/>
          <w:iCs/>
          <w:color w:val="0D0D0D" w:themeColor="text1" w:themeTint="F2"/>
        </w:rPr>
        <w:t>Listeria monocytogenes</w:t>
      </w:r>
      <w:r w:rsidRPr="007E5190">
        <w:rPr>
          <w:rFonts w:ascii="Times New Roman" w:hAnsi="Times New Roman" w:cs="Times New Roman"/>
          <w:color w:val="0D0D0D" w:themeColor="text1" w:themeTint="F2"/>
        </w:rPr>
        <w:t xml:space="preserve"> virulence factor, Internalin H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Our findings support an anti-virulence approach, which offers a promising strategy to combat listeriosis, potentially bypassing the mechanisms of traditional antibiotic resistance.</w:t>
      </w:r>
    </w:p>
    <w:p w14:paraId="26F0659D" w14:textId="650B9C24" w:rsidR="00D87526" w:rsidRPr="007E5190" w:rsidRDefault="00D8752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The initial virtual screening successfully identified a pool of promising triterpenoid analogues. However, the most significant finding of this study was the critical importance of the advanced validation workflow. While initial docking scores (</w:t>
      </w:r>
      <w:r w:rsidR="00082CED" w:rsidRPr="007E5190">
        <w:rPr>
          <w:rFonts w:ascii="Times New Roman" w:hAnsi="Times New Roman" w:cs="Times New Roman"/>
          <w:i/>
          <w:iCs/>
          <w:color w:val="0D0D0D" w:themeColor="text1" w:themeTint="F2"/>
        </w:rPr>
        <w:t>Virtual Screening for Novel High-Affinity Inhibitors</w:t>
      </w:r>
      <w:r w:rsidRPr="007E5190">
        <w:rPr>
          <w:rFonts w:ascii="Times New Roman" w:hAnsi="Times New Roman" w:cs="Times New Roman"/>
          <w:color w:val="0D0D0D" w:themeColor="text1" w:themeTint="F2"/>
        </w:rPr>
        <w:t>) were misleading, the subsequent 125 ns molecular dynamics simulations, coupled with MM-GBSA free energy calculations, were essential for correcting the initial rankings and identifying the true lead compound.</w:t>
      </w:r>
    </w:p>
    <w:p w14:paraId="6F76F373" w14:textId="1744FC5C" w:rsidR="00D87526" w:rsidRPr="007E5190" w:rsidRDefault="006816D1"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It is</w:t>
      </w:r>
      <w:r w:rsidR="00D87526" w:rsidRPr="007E5190">
        <w:rPr>
          <w:rFonts w:ascii="Times New Roman" w:hAnsi="Times New Roman" w:cs="Times New Roman"/>
          <w:color w:val="0D0D0D" w:themeColor="text1" w:themeTint="F2"/>
        </w:rPr>
        <w:t xml:space="preserve"> definitively identified </w:t>
      </w:r>
      <w:r w:rsidRPr="007E5190">
        <w:rPr>
          <w:rFonts w:ascii="Times New Roman" w:hAnsi="Times New Roman" w:cs="Times New Roman"/>
          <w:color w:val="0D0D0D" w:themeColor="text1" w:themeTint="F2"/>
        </w:rPr>
        <w:t xml:space="preserve">that </w:t>
      </w:r>
      <w:r w:rsidR="00D87526" w:rsidRPr="007E5190">
        <w:rPr>
          <w:rFonts w:ascii="Times New Roman" w:hAnsi="Times New Roman" w:cs="Times New Roman"/>
          <w:color w:val="0D0D0D" w:themeColor="text1" w:themeTint="F2"/>
        </w:rPr>
        <w:t xml:space="preserve">the Hederagenin analogue (CID 137633443) </w:t>
      </w:r>
      <w:r w:rsidRPr="007E5190">
        <w:rPr>
          <w:rFonts w:ascii="Times New Roman" w:hAnsi="Times New Roman" w:cs="Times New Roman"/>
          <w:color w:val="0D0D0D" w:themeColor="text1" w:themeTint="F2"/>
        </w:rPr>
        <w:t>is</w:t>
      </w:r>
      <w:r w:rsidR="00D87526" w:rsidRPr="007E5190">
        <w:rPr>
          <w:rFonts w:ascii="Times New Roman" w:hAnsi="Times New Roman" w:cs="Times New Roman"/>
          <w:color w:val="0D0D0D" w:themeColor="text1" w:themeTint="F2"/>
        </w:rPr>
        <w:t xml:space="preserve"> the most potent and stable inhibitor, with a validated binding free energy of </w:t>
      </w:r>
      <m:oMath>
        <m:r>
          <w:rPr>
            <w:rFonts w:ascii="Cambria Math" w:hAnsi="Cambria Math" w:cs="Times New Roman"/>
            <w:color w:val="0D0D0D" w:themeColor="text1" w:themeTint="F2"/>
          </w:rPr>
          <m:t>-17.0</m:t>
        </m:r>
        <m:r>
          <w:rPr>
            <w:rFonts w:ascii="Cambria Math" w:hAnsi="Cambria Math" w:cs="Times New Roman"/>
            <w:color w:val="0D0D0D" w:themeColor="text1" w:themeTint="F2"/>
          </w:rPr>
          <m:t>9</m:t>
        </m:r>
        <m:r>
          <w:rPr>
            <w:rFonts w:ascii="Cambria Math" w:hAnsi="Cambria Math" w:cs="Times New Roman"/>
            <w:color w:val="0D0D0D" w:themeColor="text1" w:themeTint="F2"/>
          </w:rPr>
          <m:t xml:space="preserve"> kcal/mol</m:t>
        </m:r>
      </m:oMath>
      <w:r w:rsidR="00D87526" w:rsidRPr="007E5190">
        <w:rPr>
          <w:rFonts w:ascii="Times New Roman" w:hAnsi="Times New Roman" w:cs="Times New Roman"/>
          <w:color w:val="0D0D0D" w:themeColor="text1" w:themeTint="F2"/>
        </w:rPr>
        <w:t xml:space="preserve"> (</w:t>
      </w:r>
      <w:r w:rsidR="006D3705" w:rsidRPr="007E5190">
        <w:rPr>
          <w:rFonts w:ascii="Times New Roman" w:hAnsi="Times New Roman" w:cs="Times New Roman"/>
          <w:color w:val="4472C4" w:themeColor="accent1"/>
        </w:rPr>
        <w:fldChar w:fldCharType="begin"/>
      </w:r>
      <w:r w:rsidR="006D3705" w:rsidRPr="007E5190">
        <w:rPr>
          <w:rFonts w:ascii="Times New Roman" w:hAnsi="Times New Roman" w:cs="Times New Roman"/>
          <w:color w:val="4472C4" w:themeColor="accent1"/>
        </w:rPr>
        <w:instrText xml:space="preserve"> REF _Ref213082033 \h </w:instrText>
      </w:r>
      <w:r w:rsidR="00DE02D0" w:rsidRPr="007E5190">
        <w:rPr>
          <w:rFonts w:ascii="Times New Roman" w:hAnsi="Times New Roman" w:cs="Times New Roman"/>
          <w:color w:val="4472C4" w:themeColor="accent1"/>
        </w:rPr>
        <w:instrText xml:space="preserve"> \* MERGEFORMAT </w:instrText>
      </w:r>
      <w:r w:rsidR="006D3705" w:rsidRPr="007E5190">
        <w:rPr>
          <w:rFonts w:ascii="Times New Roman" w:hAnsi="Times New Roman" w:cs="Times New Roman"/>
          <w:color w:val="4472C4" w:themeColor="accent1"/>
        </w:rPr>
      </w:r>
      <w:r w:rsidR="006D3705" w:rsidRPr="007E5190">
        <w:rPr>
          <w:rFonts w:ascii="Times New Roman" w:hAnsi="Times New Roman" w:cs="Times New Roman"/>
          <w:color w:val="4472C4" w:themeColor="accent1"/>
        </w:rPr>
        <w:fldChar w:fldCharType="separate"/>
      </w:r>
      <w:r w:rsidR="006D3705" w:rsidRPr="007E5190">
        <w:rPr>
          <w:rFonts w:ascii="Times New Roman" w:hAnsi="Times New Roman" w:cs="Times New Roman"/>
          <w:color w:val="4472C4" w:themeColor="accent1"/>
        </w:rPr>
        <w:t xml:space="preserve">Table </w:t>
      </w:r>
      <w:r w:rsidR="006D3705" w:rsidRPr="007E5190">
        <w:rPr>
          <w:rFonts w:ascii="Times New Roman" w:hAnsi="Times New Roman" w:cs="Times New Roman"/>
          <w:noProof/>
          <w:color w:val="4472C4" w:themeColor="accent1"/>
        </w:rPr>
        <w:t>8</w:t>
      </w:r>
      <w:r w:rsidR="006D3705" w:rsidRPr="007E5190">
        <w:rPr>
          <w:rFonts w:ascii="Times New Roman" w:hAnsi="Times New Roman" w:cs="Times New Roman"/>
          <w:color w:val="4472C4" w:themeColor="accent1"/>
        </w:rPr>
        <w:fldChar w:fldCharType="end"/>
      </w:r>
      <w:r w:rsidR="00D87526" w:rsidRPr="007E5190">
        <w:rPr>
          <w:rFonts w:ascii="Times New Roman" w:hAnsi="Times New Roman" w:cs="Times New Roman"/>
          <w:color w:val="0D0D0D" w:themeColor="text1" w:themeTint="F2"/>
        </w:rPr>
        <w:t>). This result was strongly supported by all other analyses: the Hederagenin analogue's superiority was perfectly correlated with its high dynamic stability (</w:t>
      </w:r>
      <w:r w:rsidR="00DF75E6" w:rsidRPr="007E5190">
        <w:rPr>
          <w:rFonts w:ascii="Times New Roman" w:hAnsi="Times New Roman" w:cs="Times New Roman"/>
          <w:i/>
          <w:iCs/>
          <w:color w:val="4472C4" w:themeColor="accent1"/>
        </w:rPr>
        <w:fldChar w:fldCharType="begin"/>
      </w:r>
      <w:r w:rsidR="00DF75E6" w:rsidRPr="007E5190">
        <w:rPr>
          <w:rFonts w:ascii="Times New Roman" w:hAnsi="Times New Roman" w:cs="Times New Roman"/>
          <w:color w:val="4472C4" w:themeColor="accent1"/>
        </w:rPr>
        <w:instrText xml:space="preserve"> REF _Ref213159240 \h </w:instrText>
      </w:r>
      <w:r w:rsidR="009603C8" w:rsidRPr="007E5190">
        <w:rPr>
          <w:rFonts w:ascii="Times New Roman" w:hAnsi="Times New Roman" w:cs="Times New Roman"/>
          <w:i/>
          <w:iCs/>
          <w:color w:val="4472C4" w:themeColor="accent1"/>
        </w:rPr>
        <w:instrText xml:space="preserve"> \* MERGEFORMAT </w:instrText>
      </w:r>
      <w:r w:rsidR="00DF75E6" w:rsidRPr="007E5190">
        <w:rPr>
          <w:rFonts w:ascii="Times New Roman" w:hAnsi="Times New Roman" w:cs="Times New Roman"/>
          <w:i/>
          <w:iCs/>
          <w:color w:val="4472C4" w:themeColor="accent1"/>
        </w:rPr>
      </w:r>
      <w:r w:rsidR="00DF75E6" w:rsidRPr="007E5190">
        <w:rPr>
          <w:rFonts w:ascii="Times New Roman" w:hAnsi="Times New Roman" w:cs="Times New Roman"/>
          <w:i/>
          <w:iCs/>
          <w:color w:val="4472C4" w:themeColor="accent1"/>
        </w:rPr>
        <w:fldChar w:fldCharType="separate"/>
      </w:r>
      <w:r w:rsidR="00DF75E6" w:rsidRPr="007E5190">
        <w:rPr>
          <w:rFonts w:ascii="Times New Roman" w:hAnsi="Times New Roman" w:cs="Times New Roman"/>
          <w:i/>
          <w:color w:val="4472C4" w:themeColor="accent1"/>
        </w:rPr>
        <w:t>Principal Component Analysis (PCA) and Free Energy Landscape (FEL)</w:t>
      </w:r>
      <w:r w:rsidR="00DF75E6" w:rsidRPr="007E5190">
        <w:rPr>
          <w:rFonts w:ascii="Times New Roman" w:hAnsi="Times New Roman" w:cs="Times New Roman"/>
          <w:i/>
          <w:iCs/>
          <w:color w:val="4472C4" w:themeColor="accent1"/>
        </w:rPr>
        <w:fldChar w:fldCharType="end"/>
      </w:r>
      <w:r w:rsidR="006D3705" w:rsidRPr="007E5190">
        <w:rPr>
          <w:rFonts w:ascii="Times New Roman" w:hAnsi="Times New Roman" w:cs="Times New Roman"/>
          <w:color w:val="4472C4" w:themeColor="accent1"/>
        </w:rPr>
        <w:t>,</w:t>
      </w:r>
      <w:r w:rsidR="006D3705" w:rsidRPr="007E5190">
        <w:rPr>
          <w:rFonts w:ascii="Times New Roman" w:hAnsi="Times New Roman" w:cs="Times New Roman"/>
          <w:color w:val="0D0D0D" w:themeColor="text1" w:themeTint="F2"/>
        </w:rPr>
        <w:t xml:space="preserve"> </w:t>
      </w:r>
      <w:r w:rsidR="006D3705" w:rsidRPr="007E5190">
        <w:rPr>
          <w:rFonts w:ascii="Times New Roman" w:hAnsi="Times New Roman" w:cs="Times New Roman"/>
          <w:color w:val="4472C4" w:themeColor="accent1"/>
        </w:rPr>
        <w:fldChar w:fldCharType="begin"/>
      </w:r>
      <w:r w:rsidR="006D3705" w:rsidRPr="007E5190">
        <w:rPr>
          <w:rFonts w:ascii="Times New Roman" w:hAnsi="Times New Roman" w:cs="Times New Roman"/>
          <w:color w:val="4472C4" w:themeColor="accent1"/>
        </w:rPr>
        <w:instrText xml:space="preserve"> REF _Ref213081873 </w:instrText>
      </w:r>
      <w:r w:rsidR="00DE02D0" w:rsidRPr="007E5190">
        <w:rPr>
          <w:rFonts w:ascii="Times New Roman" w:hAnsi="Times New Roman" w:cs="Times New Roman"/>
          <w:color w:val="4472C4" w:themeColor="accent1"/>
        </w:rPr>
        <w:instrText xml:space="preserve"> \* MERGEFORMAT </w:instrText>
      </w:r>
      <w:r w:rsidR="006D3705" w:rsidRPr="007E5190">
        <w:rPr>
          <w:rFonts w:ascii="Times New Roman" w:hAnsi="Times New Roman" w:cs="Times New Roman"/>
          <w:color w:val="4472C4" w:themeColor="accent1"/>
        </w:rPr>
        <w:fldChar w:fldCharType="separate"/>
      </w:r>
      <w:r w:rsidR="006D3705" w:rsidRPr="007E5190">
        <w:rPr>
          <w:rFonts w:ascii="Times New Roman" w:hAnsi="Times New Roman" w:cs="Times New Roman"/>
          <w:color w:val="4472C4" w:themeColor="accent1"/>
        </w:rPr>
        <w:t xml:space="preserve">Figure </w:t>
      </w:r>
      <w:r w:rsidR="006D3705" w:rsidRPr="007E5190">
        <w:rPr>
          <w:rFonts w:ascii="Times New Roman" w:hAnsi="Times New Roman" w:cs="Times New Roman"/>
          <w:noProof/>
          <w:color w:val="4472C4" w:themeColor="accent1"/>
        </w:rPr>
        <w:t>1</w:t>
      </w:r>
      <w:r w:rsidR="00BD4226" w:rsidRPr="007E5190">
        <w:rPr>
          <w:rFonts w:ascii="Times New Roman" w:hAnsi="Times New Roman" w:cs="Times New Roman"/>
          <w:noProof/>
          <w:color w:val="4472C4" w:themeColor="accent1"/>
        </w:rPr>
        <w:t>2</w:t>
      </w:r>
      <w:r w:rsidR="006D3705" w:rsidRPr="007E5190">
        <w:rPr>
          <w:rFonts w:ascii="Times New Roman" w:hAnsi="Times New Roman" w:cs="Times New Roman"/>
          <w:color w:val="4472C4" w:themeColor="accent1"/>
        </w:rPr>
        <w:fldChar w:fldCharType="end"/>
      </w:r>
      <w:r w:rsidR="00D87526" w:rsidRPr="007E5190">
        <w:rPr>
          <w:rFonts w:ascii="Times New Roman" w:hAnsi="Times New Roman" w:cs="Times New Roman"/>
          <w:color w:val="0D0D0D" w:themeColor="text1" w:themeTint="F2"/>
        </w:rPr>
        <w:t>), persistent intermolecular interactions (</w:t>
      </w:r>
      <w:r w:rsidR="00DF75E6" w:rsidRPr="007E5190">
        <w:rPr>
          <w:rFonts w:ascii="Times New Roman" w:hAnsi="Times New Roman" w:cs="Times New Roman"/>
          <w:i/>
          <w:iCs/>
          <w:color w:val="4472C4" w:themeColor="accent1"/>
        </w:rPr>
        <w:fldChar w:fldCharType="begin"/>
      </w:r>
      <w:r w:rsidR="00DF75E6" w:rsidRPr="007E5190">
        <w:rPr>
          <w:rFonts w:ascii="Times New Roman" w:hAnsi="Times New Roman" w:cs="Times New Roman"/>
          <w:color w:val="4472C4" w:themeColor="accent1"/>
        </w:rPr>
        <w:instrText xml:space="preserve"> REF _Ref213159382 \h </w:instrText>
      </w:r>
      <w:r w:rsidR="009603C8" w:rsidRPr="007E5190">
        <w:rPr>
          <w:rFonts w:ascii="Times New Roman" w:hAnsi="Times New Roman" w:cs="Times New Roman"/>
          <w:i/>
          <w:iCs/>
          <w:color w:val="4472C4" w:themeColor="accent1"/>
        </w:rPr>
        <w:instrText xml:space="preserve"> \* MERGEFORMAT </w:instrText>
      </w:r>
      <w:r w:rsidR="00DF75E6" w:rsidRPr="007E5190">
        <w:rPr>
          <w:rFonts w:ascii="Times New Roman" w:hAnsi="Times New Roman" w:cs="Times New Roman"/>
          <w:i/>
          <w:iCs/>
          <w:color w:val="4472C4" w:themeColor="accent1"/>
        </w:rPr>
      </w:r>
      <w:r w:rsidR="00DF75E6" w:rsidRPr="007E5190">
        <w:rPr>
          <w:rFonts w:ascii="Times New Roman" w:hAnsi="Times New Roman" w:cs="Times New Roman"/>
          <w:i/>
          <w:iCs/>
          <w:color w:val="4472C4" w:themeColor="accent1"/>
        </w:rPr>
        <w:fldChar w:fldCharType="separate"/>
      </w:r>
      <w:r w:rsidR="00DF75E6" w:rsidRPr="007E5190">
        <w:rPr>
          <w:rFonts w:ascii="Times New Roman" w:hAnsi="Times New Roman" w:cs="Times New Roman"/>
          <w:i/>
          <w:color w:val="4472C4" w:themeColor="accent1"/>
        </w:rPr>
        <w:t>Intermolecular Hydrogen Bonds</w:t>
      </w:r>
      <w:r w:rsidR="00DF75E6" w:rsidRPr="007E5190">
        <w:rPr>
          <w:rFonts w:ascii="Times New Roman" w:hAnsi="Times New Roman" w:cs="Times New Roman"/>
          <w:i/>
          <w:iCs/>
          <w:color w:val="4472C4" w:themeColor="accent1"/>
        </w:rPr>
        <w:fldChar w:fldCharType="end"/>
      </w:r>
      <w:r w:rsidR="006D3705" w:rsidRPr="007E5190">
        <w:rPr>
          <w:rFonts w:ascii="Times New Roman" w:hAnsi="Times New Roman" w:cs="Times New Roman"/>
          <w:color w:val="0D0D0D" w:themeColor="text1" w:themeTint="F2"/>
        </w:rPr>
        <w:t xml:space="preserve">, </w:t>
      </w:r>
      <w:r w:rsidR="006D3705" w:rsidRPr="007E5190">
        <w:rPr>
          <w:rFonts w:ascii="Times New Roman" w:hAnsi="Times New Roman" w:cs="Times New Roman"/>
          <w:color w:val="4472C4" w:themeColor="accent1"/>
        </w:rPr>
        <w:fldChar w:fldCharType="begin"/>
      </w:r>
      <w:r w:rsidR="006D3705" w:rsidRPr="007E5190">
        <w:rPr>
          <w:rFonts w:ascii="Times New Roman" w:hAnsi="Times New Roman" w:cs="Times New Roman"/>
          <w:color w:val="4472C4" w:themeColor="accent1"/>
        </w:rPr>
        <w:instrText xml:space="preserve"> REF _Ref213081521 </w:instrText>
      </w:r>
      <w:r w:rsidR="00DE02D0" w:rsidRPr="007E5190">
        <w:rPr>
          <w:rFonts w:ascii="Times New Roman" w:hAnsi="Times New Roman" w:cs="Times New Roman"/>
          <w:color w:val="4472C4" w:themeColor="accent1"/>
        </w:rPr>
        <w:instrText xml:space="preserve"> \* MERGEFORMAT </w:instrText>
      </w:r>
      <w:r w:rsidR="006D3705" w:rsidRPr="007E5190">
        <w:rPr>
          <w:rFonts w:ascii="Times New Roman" w:hAnsi="Times New Roman" w:cs="Times New Roman"/>
          <w:color w:val="4472C4" w:themeColor="accent1"/>
        </w:rPr>
        <w:fldChar w:fldCharType="separate"/>
      </w:r>
      <w:r w:rsidR="006D3705" w:rsidRPr="007E5190">
        <w:rPr>
          <w:rFonts w:ascii="Times New Roman" w:hAnsi="Times New Roman" w:cs="Times New Roman"/>
          <w:color w:val="4472C4" w:themeColor="accent1"/>
        </w:rPr>
        <w:t xml:space="preserve">Figure </w:t>
      </w:r>
      <w:r w:rsidR="00BD4226" w:rsidRPr="007E5190">
        <w:rPr>
          <w:rFonts w:ascii="Times New Roman" w:hAnsi="Times New Roman" w:cs="Times New Roman"/>
          <w:color w:val="4472C4" w:themeColor="accent1"/>
        </w:rPr>
        <w:t>8</w:t>
      </w:r>
      <w:r w:rsidR="006D3705" w:rsidRPr="007E5190">
        <w:rPr>
          <w:rFonts w:ascii="Times New Roman" w:hAnsi="Times New Roman" w:cs="Times New Roman"/>
          <w:color w:val="4472C4" w:themeColor="accent1"/>
        </w:rPr>
        <w:fldChar w:fldCharType="end"/>
      </w:r>
      <w:r w:rsidR="006D3705" w:rsidRPr="007E5190">
        <w:rPr>
          <w:rFonts w:ascii="Times New Roman" w:hAnsi="Times New Roman" w:cs="Times New Roman"/>
          <w:color w:val="4472C4" w:themeColor="accent1"/>
        </w:rPr>
        <w:t xml:space="preserve">, </w:t>
      </w:r>
      <w:r w:rsidR="00D87526" w:rsidRPr="007E5190">
        <w:rPr>
          <w:rFonts w:ascii="Times New Roman" w:hAnsi="Times New Roman" w:cs="Times New Roman"/>
          <w:color w:val="0D0D0D" w:themeColor="text1" w:themeTint="F2"/>
        </w:rPr>
        <w:t>), and high chemical reactivity, as evidenced by its smallest HOMO-LUMO energy gap (4.92 eV) in the DFT analysis (</w:t>
      </w:r>
      <w:r w:rsidR="006D3705" w:rsidRPr="007E5190">
        <w:rPr>
          <w:rFonts w:ascii="Times New Roman" w:hAnsi="Times New Roman" w:cs="Times New Roman"/>
          <w:color w:val="4472C4" w:themeColor="accent1"/>
        </w:rPr>
        <w:fldChar w:fldCharType="begin"/>
      </w:r>
      <w:r w:rsidR="006D3705" w:rsidRPr="007E5190">
        <w:rPr>
          <w:rFonts w:ascii="Times New Roman" w:hAnsi="Times New Roman" w:cs="Times New Roman"/>
          <w:color w:val="4472C4" w:themeColor="accent1"/>
        </w:rPr>
        <w:instrText xml:space="preserve"> REF _Ref213082403 </w:instrText>
      </w:r>
      <w:r w:rsidR="00DE02D0" w:rsidRPr="007E5190">
        <w:rPr>
          <w:rFonts w:ascii="Times New Roman" w:hAnsi="Times New Roman" w:cs="Times New Roman"/>
          <w:color w:val="4472C4" w:themeColor="accent1"/>
        </w:rPr>
        <w:instrText xml:space="preserve"> \* MERGEFORMAT </w:instrText>
      </w:r>
      <w:r w:rsidR="006D3705" w:rsidRPr="007E5190">
        <w:rPr>
          <w:rFonts w:ascii="Times New Roman" w:hAnsi="Times New Roman" w:cs="Times New Roman"/>
          <w:color w:val="4472C4" w:themeColor="accent1"/>
        </w:rPr>
        <w:fldChar w:fldCharType="separate"/>
      </w:r>
      <w:r w:rsidR="006D3705" w:rsidRPr="007E5190">
        <w:rPr>
          <w:rFonts w:ascii="Times New Roman" w:hAnsi="Times New Roman" w:cs="Times New Roman"/>
          <w:color w:val="4472C4" w:themeColor="accent1"/>
        </w:rPr>
        <w:t xml:space="preserve">Table </w:t>
      </w:r>
      <w:r w:rsidR="006D3705" w:rsidRPr="007E5190">
        <w:rPr>
          <w:rFonts w:ascii="Times New Roman" w:hAnsi="Times New Roman" w:cs="Times New Roman"/>
          <w:noProof/>
          <w:color w:val="4472C4" w:themeColor="accent1"/>
        </w:rPr>
        <w:t>9</w:t>
      </w:r>
      <w:r w:rsidR="006D3705" w:rsidRPr="007E5190">
        <w:rPr>
          <w:rFonts w:ascii="Times New Roman" w:hAnsi="Times New Roman" w:cs="Times New Roman"/>
          <w:color w:val="4472C4" w:themeColor="accent1"/>
        </w:rPr>
        <w:fldChar w:fldCharType="end"/>
      </w:r>
      <w:r w:rsidR="00EC2A0E" w:rsidRPr="007E5190">
        <w:rPr>
          <w:rFonts w:ascii="Times New Roman" w:hAnsi="Times New Roman" w:cs="Times New Roman"/>
          <w:color w:val="0D0D0D" w:themeColor="text1" w:themeTint="F2"/>
        </w:rPr>
        <w:t>,</w:t>
      </w:r>
      <w:r w:rsidR="00EC2A0E" w:rsidRPr="007E5190">
        <w:rPr>
          <w:rFonts w:ascii="Times New Roman" w:hAnsi="Times New Roman" w:cs="Times New Roman"/>
          <w:color w:val="4472C4" w:themeColor="accent1"/>
        </w:rPr>
        <w:t xml:space="preserve"> </w:t>
      </w:r>
      <w:r w:rsidR="00CD08D3" w:rsidRPr="007E5190">
        <w:rPr>
          <w:rFonts w:ascii="Times New Roman" w:hAnsi="Times New Roman" w:cs="Times New Roman"/>
          <w:color w:val="4472C4" w:themeColor="accent1"/>
        </w:rPr>
        <w:fldChar w:fldCharType="begin"/>
      </w:r>
      <w:r w:rsidR="00CD08D3" w:rsidRPr="007E5190">
        <w:rPr>
          <w:rFonts w:ascii="Times New Roman" w:hAnsi="Times New Roman" w:cs="Times New Roman"/>
          <w:color w:val="4472C4" w:themeColor="accent1"/>
        </w:rPr>
        <w:instrText xml:space="preserve"> REF _Ref213105857 \h </w:instrText>
      </w:r>
      <w:r w:rsidR="00DE02D0" w:rsidRPr="007E5190">
        <w:rPr>
          <w:rFonts w:ascii="Times New Roman" w:hAnsi="Times New Roman" w:cs="Times New Roman"/>
          <w:color w:val="4472C4" w:themeColor="accent1"/>
        </w:rPr>
        <w:instrText xml:space="preserve"> \* MERGEFORMAT </w:instrText>
      </w:r>
      <w:r w:rsidR="00CD08D3" w:rsidRPr="007E5190">
        <w:rPr>
          <w:rFonts w:ascii="Times New Roman" w:hAnsi="Times New Roman" w:cs="Times New Roman"/>
          <w:color w:val="4472C4" w:themeColor="accent1"/>
        </w:rPr>
      </w:r>
      <w:r w:rsidR="00CD08D3" w:rsidRPr="007E5190">
        <w:rPr>
          <w:rFonts w:ascii="Times New Roman" w:hAnsi="Times New Roman" w:cs="Times New Roman"/>
          <w:color w:val="4472C4" w:themeColor="accent1"/>
        </w:rPr>
        <w:fldChar w:fldCharType="separate"/>
      </w:r>
      <w:r w:rsidR="00CD08D3" w:rsidRPr="007E5190">
        <w:rPr>
          <w:rFonts w:ascii="Times New Roman" w:hAnsi="Times New Roman" w:cs="Times New Roman"/>
          <w:color w:val="4472C4" w:themeColor="accent1"/>
          <w:szCs w:val="20"/>
        </w:rPr>
        <w:t xml:space="preserve">Figure </w:t>
      </w:r>
      <w:r w:rsidR="00CD08D3" w:rsidRPr="007E5190">
        <w:rPr>
          <w:rFonts w:ascii="Times New Roman" w:hAnsi="Times New Roman" w:cs="Times New Roman"/>
          <w:noProof/>
          <w:color w:val="4472C4" w:themeColor="accent1"/>
          <w:szCs w:val="20"/>
        </w:rPr>
        <w:t>1</w:t>
      </w:r>
      <w:r w:rsidR="00CD08D3" w:rsidRPr="007E5190">
        <w:rPr>
          <w:rFonts w:ascii="Times New Roman" w:hAnsi="Times New Roman" w:cs="Times New Roman"/>
          <w:color w:val="4472C4" w:themeColor="accent1"/>
        </w:rPr>
        <w:fldChar w:fldCharType="end"/>
      </w:r>
      <w:r w:rsidR="00BD4226" w:rsidRPr="007E5190">
        <w:rPr>
          <w:rFonts w:ascii="Times New Roman" w:hAnsi="Times New Roman" w:cs="Times New Roman"/>
          <w:color w:val="4472C4" w:themeColor="accent1"/>
        </w:rPr>
        <w:t>4</w:t>
      </w:r>
      <w:r w:rsidR="00C36630" w:rsidRPr="007E5190">
        <w:rPr>
          <w:rFonts w:ascii="Times New Roman" w:hAnsi="Times New Roman" w:cs="Times New Roman"/>
          <w:color w:val="0D0D0D" w:themeColor="text1" w:themeTint="F2"/>
        </w:rPr>
        <w:t xml:space="preserve"> &amp; </w:t>
      </w:r>
      <w:r w:rsidR="00C36630" w:rsidRPr="007E5190">
        <w:rPr>
          <w:rFonts w:ascii="Times New Roman" w:hAnsi="Times New Roman" w:cs="Times New Roman"/>
          <w:color w:val="4472C4" w:themeColor="accent1"/>
        </w:rPr>
        <w:fldChar w:fldCharType="begin"/>
      </w:r>
      <w:r w:rsidR="00C36630" w:rsidRPr="007E5190">
        <w:rPr>
          <w:rFonts w:ascii="Times New Roman" w:hAnsi="Times New Roman" w:cs="Times New Roman"/>
          <w:color w:val="4472C4" w:themeColor="accent1"/>
        </w:rPr>
        <w:instrText xml:space="preserve"> REF _Ref213086499 \h  \* MERGEFORMAT </w:instrText>
      </w:r>
      <w:r w:rsidR="00C36630" w:rsidRPr="007E5190">
        <w:rPr>
          <w:rFonts w:ascii="Times New Roman" w:hAnsi="Times New Roman" w:cs="Times New Roman"/>
          <w:color w:val="4472C4" w:themeColor="accent1"/>
        </w:rPr>
      </w:r>
      <w:r w:rsidR="00C36630" w:rsidRPr="007E5190">
        <w:rPr>
          <w:rFonts w:ascii="Times New Roman" w:hAnsi="Times New Roman" w:cs="Times New Roman"/>
          <w:color w:val="4472C4" w:themeColor="accent1"/>
        </w:rPr>
        <w:fldChar w:fldCharType="separate"/>
      </w:r>
      <w:r w:rsidR="00C36630" w:rsidRPr="007E5190">
        <w:rPr>
          <w:rFonts w:ascii="Times New Roman" w:hAnsi="Times New Roman" w:cs="Times New Roman"/>
          <w:color w:val="4472C4" w:themeColor="accent1"/>
        </w:rPr>
        <w:t xml:space="preserve">Figure </w:t>
      </w:r>
      <w:r w:rsidR="00C36630" w:rsidRPr="007E5190">
        <w:rPr>
          <w:rFonts w:ascii="Times New Roman" w:hAnsi="Times New Roman" w:cs="Times New Roman"/>
          <w:noProof/>
          <w:color w:val="4472C4" w:themeColor="accent1"/>
        </w:rPr>
        <w:t>15</w:t>
      </w:r>
      <w:r w:rsidR="00C36630" w:rsidRPr="007E5190">
        <w:rPr>
          <w:rFonts w:ascii="Times New Roman" w:hAnsi="Times New Roman" w:cs="Times New Roman"/>
          <w:color w:val="4472C4" w:themeColor="accent1"/>
        </w:rPr>
        <w:fldChar w:fldCharType="end"/>
      </w:r>
      <w:r w:rsidR="00C36630" w:rsidRPr="007E5190">
        <w:rPr>
          <w:rFonts w:ascii="Times New Roman" w:hAnsi="Times New Roman" w:cs="Times New Roman"/>
          <w:color w:val="0D0D0D" w:themeColor="text1" w:themeTint="F2"/>
        </w:rPr>
        <w:t xml:space="preserve"> </w:t>
      </w:r>
      <w:r w:rsidR="00D87526" w:rsidRPr="007E5190">
        <w:rPr>
          <w:rFonts w:ascii="Times New Roman" w:hAnsi="Times New Roman" w:cs="Times New Roman"/>
          <w:color w:val="0D0D0D" w:themeColor="text1" w:themeTint="F2"/>
        </w:rPr>
        <w:t>).</w:t>
      </w:r>
    </w:p>
    <w:p w14:paraId="4166848E" w14:textId="77777777" w:rsidR="00D87526" w:rsidRPr="007E5190" w:rsidRDefault="00D87526"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This research provides a robust, validated lead compound and a strong foundation for the next phase of drug discovery. Future research must focus on the experimental validation of these findings, including </w:t>
      </w:r>
      <w:r w:rsidRPr="007E5190">
        <w:rPr>
          <w:rFonts w:ascii="Times New Roman" w:hAnsi="Times New Roman" w:cs="Times New Roman"/>
          <w:i/>
          <w:iCs/>
          <w:color w:val="0D0D0D" w:themeColor="text1" w:themeTint="F2"/>
        </w:rPr>
        <w:t>in-vitro</w:t>
      </w:r>
      <w:r w:rsidRPr="007E5190">
        <w:rPr>
          <w:rFonts w:ascii="Times New Roman" w:hAnsi="Times New Roman" w:cs="Times New Roman"/>
          <w:color w:val="0D0D0D" w:themeColor="text1" w:themeTint="F2"/>
        </w:rPr>
        <w:t xml:space="preserve"> biochemical assays to confirm direct </w:t>
      </w:r>
      <w:proofErr w:type="spellStart"/>
      <w:r w:rsidRPr="007E5190">
        <w:rPr>
          <w:rFonts w:ascii="Times New Roman" w:hAnsi="Times New Roman" w:cs="Times New Roman"/>
          <w:color w:val="0D0D0D" w:themeColor="text1" w:themeTint="F2"/>
        </w:rPr>
        <w:t>InlH</w:t>
      </w:r>
      <w:proofErr w:type="spellEnd"/>
      <w:r w:rsidRPr="007E5190">
        <w:rPr>
          <w:rFonts w:ascii="Times New Roman" w:hAnsi="Times New Roman" w:cs="Times New Roman"/>
          <w:color w:val="0D0D0D" w:themeColor="text1" w:themeTint="F2"/>
        </w:rPr>
        <w:t xml:space="preserve"> inhibition and cell-based infection models to assess the reduction in </w:t>
      </w:r>
      <w:r w:rsidRPr="007E5190">
        <w:rPr>
          <w:rFonts w:ascii="Times New Roman" w:hAnsi="Times New Roman" w:cs="Times New Roman"/>
          <w:i/>
          <w:iCs/>
          <w:color w:val="0D0D0D" w:themeColor="text1" w:themeTint="F2"/>
        </w:rPr>
        <w:t>Listeria</w:t>
      </w:r>
      <w:r w:rsidRPr="007E5190">
        <w:rPr>
          <w:rFonts w:ascii="Times New Roman" w:hAnsi="Times New Roman" w:cs="Times New Roman"/>
          <w:color w:val="0D0D0D" w:themeColor="text1" w:themeTint="F2"/>
        </w:rPr>
        <w:t xml:space="preserve"> virulence.</w:t>
      </w:r>
    </w:p>
    <w:p w14:paraId="6319CDF4" w14:textId="3539D12A" w:rsidR="007F28BC" w:rsidRPr="007E5190" w:rsidRDefault="007F28BC" w:rsidP="00D75BEE">
      <w:pPr>
        <w:jc w:val="both"/>
        <w:rPr>
          <w:rFonts w:ascii="Times New Roman" w:hAnsi="Times New Roman" w:cs="Times New Roman"/>
          <w:color w:val="0D0D0D" w:themeColor="text1" w:themeTint="F2"/>
        </w:rPr>
      </w:pPr>
    </w:p>
    <w:p w14:paraId="7501B763" w14:textId="77777777" w:rsidR="00B80E46" w:rsidRPr="007E5190" w:rsidRDefault="00B80E46" w:rsidP="004D5F3F">
      <w:pPr>
        <w:pStyle w:val="Heading1"/>
        <w:rPr>
          <w:rFonts w:cs="Times New Roman"/>
        </w:rPr>
      </w:pPr>
      <w:r w:rsidRPr="007E5190">
        <w:rPr>
          <w:rFonts w:cs="Times New Roman"/>
        </w:rPr>
        <w:t>Funding Sources</w:t>
      </w:r>
    </w:p>
    <w:p w14:paraId="5DE53D29" w14:textId="2CB051C4" w:rsidR="00B80E46" w:rsidRPr="007E5190" w:rsidRDefault="00B80E46" w:rsidP="00B80E46">
      <w:pP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 xml:space="preserve">This research did not receive any specific grant from funding agencies in the public, commercial, or </w:t>
      </w:r>
      <w:proofErr w:type="gramStart"/>
      <w:r w:rsidRPr="007E5190">
        <w:rPr>
          <w:rFonts w:ascii="Times New Roman" w:hAnsi="Times New Roman" w:cs="Times New Roman"/>
          <w:color w:val="0D0D0D" w:themeColor="text1" w:themeTint="F2"/>
        </w:rPr>
        <w:t>not-for</w:t>
      </w:r>
      <w:proofErr w:type="gramEnd"/>
      <w:r w:rsidRPr="007E5190">
        <w:rPr>
          <w:rFonts w:ascii="Times New Roman" w:hAnsi="Times New Roman" w:cs="Times New Roman"/>
          <w:color w:val="0D0D0D" w:themeColor="text1" w:themeTint="F2"/>
        </w:rPr>
        <w:t>-profit sectors.</w:t>
      </w:r>
    </w:p>
    <w:p w14:paraId="6BC72418" w14:textId="77777777" w:rsidR="008B0FDA" w:rsidRPr="007E5190" w:rsidRDefault="008B0FDA" w:rsidP="004D5F3F">
      <w:pPr>
        <w:pStyle w:val="Heading1"/>
        <w:rPr>
          <w:rFonts w:cs="Times New Roman"/>
        </w:rPr>
      </w:pPr>
      <w:r w:rsidRPr="007E5190">
        <w:rPr>
          <w:rFonts w:cs="Times New Roman"/>
        </w:rPr>
        <w:t>Declaration of Generative AI and AI-assisted technologies in the manuscript preparation process</w:t>
      </w:r>
    </w:p>
    <w:p w14:paraId="51C09073" w14:textId="31E0BD65" w:rsidR="008B0FDA" w:rsidRPr="007E5190" w:rsidRDefault="008B0FDA" w:rsidP="008B0FDA">
      <w:pPr>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t>During the preparation of this work the author</w:t>
      </w:r>
      <w:r w:rsidR="00782EA8" w:rsidRPr="007E5190">
        <w:rPr>
          <w:rFonts w:ascii="Times New Roman" w:hAnsi="Times New Roman" w:cs="Times New Roman"/>
          <w:color w:val="0D0D0D" w:themeColor="text1" w:themeTint="F2"/>
        </w:rPr>
        <w:t>(s)</w:t>
      </w:r>
      <w:r w:rsidR="00293E85"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used Gemini (Google) </w:t>
      </w:r>
      <w:proofErr w:type="gramStart"/>
      <w:r w:rsidRPr="007E5190">
        <w:rPr>
          <w:rFonts w:ascii="Times New Roman" w:hAnsi="Times New Roman" w:cs="Times New Roman"/>
          <w:color w:val="0D0D0D" w:themeColor="text1" w:themeTint="F2"/>
        </w:rPr>
        <w:t>in order to</w:t>
      </w:r>
      <w:proofErr w:type="gramEnd"/>
      <w:r w:rsidRPr="007E5190">
        <w:rPr>
          <w:rFonts w:ascii="Times New Roman" w:hAnsi="Times New Roman" w:cs="Times New Roman"/>
          <w:color w:val="0D0D0D" w:themeColor="text1" w:themeTint="F2"/>
        </w:rPr>
        <w:t xml:space="preserve"> refine language, correct technical parameters, and improve the logical flow and clarity of the text. After using this tool/service, the author</w:t>
      </w:r>
      <w:r w:rsidR="00293E85" w:rsidRPr="007E5190">
        <w:rPr>
          <w:rFonts w:ascii="Times New Roman" w:hAnsi="Times New Roman" w:cs="Times New Roman"/>
          <w:color w:val="0D0D0D" w:themeColor="text1" w:themeTint="F2"/>
        </w:rPr>
        <w:t xml:space="preserve"> </w:t>
      </w:r>
      <w:r w:rsidRPr="007E5190">
        <w:rPr>
          <w:rFonts w:ascii="Times New Roman" w:hAnsi="Times New Roman" w:cs="Times New Roman"/>
          <w:color w:val="0D0D0D" w:themeColor="text1" w:themeTint="F2"/>
        </w:rPr>
        <w:t xml:space="preserve">reviewed and edited the content as needed and </w:t>
      </w:r>
      <w:proofErr w:type="gramStart"/>
      <w:r w:rsidRPr="007E5190">
        <w:rPr>
          <w:rFonts w:ascii="Times New Roman" w:hAnsi="Times New Roman" w:cs="Times New Roman"/>
          <w:color w:val="0D0D0D" w:themeColor="text1" w:themeTint="F2"/>
        </w:rPr>
        <w:t>take</w:t>
      </w:r>
      <w:proofErr w:type="gramEnd"/>
      <w:r w:rsidRPr="007E5190">
        <w:rPr>
          <w:rFonts w:ascii="Times New Roman" w:hAnsi="Times New Roman" w:cs="Times New Roman"/>
          <w:color w:val="0D0D0D" w:themeColor="text1" w:themeTint="F2"/>
        </w:rPr>
        <w:t xml:space="preserve"> full responsibility for the content of the published article</w:t>
      </w:r>
      <w:r w:rsidR="00204D7D" w:rsidRPr="007E5190">
        <w:rPr>
          <w:rFonts w:ascii="Times New Roman" w:hAnsi="Times New Roman" w:cs="Times New Roman"/>
          <w:color w:val="0D0D0D" w:themeColor="text1" w:themeTint="F2"/>
        </w:rPr>
        <w:t>.</w:t>
      </w:r>
      <w:r w:rsidRPr="007E5190">
        <w:rPr>
          <w:rFonts w:ascii="Times New Roman" w:hAnsi="Times New Roman" w:cs="Times New Roman"/>
          <w:color w:val="0D0D0D" w:themeColor="text1" w:themeTint="F2"/>
        </w:rPr>
        <w:t xml:space="preserve"> </w:t>
      </w:r>
    </w:p>
    <w:p w14:paraId="6B74159B" w14:textId="544E1EF7" w:rsidR="00E716E1" w:rsidRPr="007E5190" w:rsidRDefault="008C3A5F" w:rsidP="004D5F3F">
      <w:pPr>
        <w:pStyle w:val="Heading1"/>
        <w:rPr>
          <w:rFonts w:cs="Times New Roman"/>
          <w:lang w:val="sv-SE"/>
        </w:rPr>
      </w:pPr>
      <w:r w:rsidRPr="007E5190">
        <w:rPr>
          <w:rFonts w:cs="Times New Roman"/>
          <w:lang w:val="sv-SE"/>
        </w:rPr>
        <w:lastRenderedPageBreak/>
        <w:t>Ref</w:t>
      </w:r>
      <w:r w:rsidR="00FA174F" w:rsidRPr="007E5190">
        <w:rPr>
          <w:rFonts w:cs="Times New Roman"/>
          <w:lang w:val="sv-SE"/>
        </w:rPr>
        <w:t>e</w:t>
      </w:r>
      <w:r w:rsidRPr="007E5190">
        <w:rPr>
          <w:rFonts w:cs="Times New Roman"/>
          <w:lang w:val="sv-SE"/>
        </w:rPr>
        <w:t>rences</w:t>
      </w:r>
    </w:p>
    <w:p w14:paraId="770FF613" w14:textId="77777777" w:rsidR="004C1A59" w:rsidRDefault="00900B7B" w:rsidP="004C1A59">
      <w:pPr>
        <w:pStyle w:val="Bibliography"/>
      </w:pPr>
      <w:r w:rsidRPr="007E5190">
        <w:rPr>
          <w:color w:val="0D0D0D" w:themeColor="text1" w:themeTint="F2"/>
        </w:rPr>
        <w:fldChar w:fldCharType="begin"/>
      </w:r>
      <w:r w:rsidR="004C1A59">
        <w:rPr>
          <w:color w:val="0D0D0D" w:themeColor="text1" w:themeTint="F2"/>
          <w:lang w:val="sv-SE"/>
        </w:rPr>
        <w:instrText xml:space="preserve"> ADDIN ZOTERO_BIBL {"uncited":[],"omitted":[],"custom":[]} CSL_BIBLIOGRAPHY </w:instrText>
      </w:r>
      <w:r w:rsidRPr="007E5190">
        <w:rPr>
          <w:color w:val="0D0D0D" w:themeColor="text1" w:themeTint="F2"/>
        </w:rPr>
        <w:fldChar w:fldCharType="separate"/>
      </w:r>
      <w:r w:rsidR="004C1A59" w:rsidRPr="004C1A59">
        <w:rPr>
          <w:lang w:val="sv-SE"/>
        </w:rPr>
        <w:t xml:space="preserve">[1] </w:t>
      </w:r>
      <w:r w:rsidR="004C1A59" w:rsidRPr="004C1A59">
        <w:rPr>
          <w:lang w:val="sv-SE"/>
        </w:rPr>
        <w:tab/>
        <w:t xml:space="preserve">Rogalla D, Bomar PA. Listeria Monocytogenes. </w:t>
      </w:r>
      <w:r w:rsidR="004C1A59">
        <w:t xml:space="preserve">In </w:t>
      </w:r>
      <w:proofErr w:type="spellStart"/>
      <w:r w:rsidR="004C1A59">
        <w:t>StatPearls</w:t>
      </w:r>
      <w:proofErr w:type="spellEnd"/>
      <w:r w:rsidR="004C1A59">
        <w:t xml:space="preserve"> [Internet] Treasure Island (FL): </w:t>
      </w:r>
      <w:proofErr w:type="spellStart"/>
      <w:r w:rsidR="004C1A59">
        <w:t>StatPearls</w:t>
      </w:r>
      <w:proofErr w:type="spellEnd"/>
      <w:r w:rsidR="004C1A59">
        <w:t xml:space="preserve"> Publishing; 2025 [cited 2025 Nov 2]. http://www.ncbi.nlm.nih.gov/books/NBK534838/.</w:t>
      </w:r>
    </w:p>
    <w:p w14:paraId="3A601B88" w14:textId="77777777" w:rsidR="004C1A59" w:rsidRDefault="004C1A59" w:rsidP="004C1A59">
      <w:pPr>
        <w:pStyle w:val="Bibliography"/>
      </w:pPr>
      <w:r>
        <w:t xml:space="preserve">[2] </w:t>
      </w:r>
      <w:r>
        <w:tab/>
      </w:r>
      <w:proofErr w:type="spellStart"/>
      <w:r>
        <w:t>Osek</w:t>
      </w:r>
      <w:proofErr w:type="spellEnd"/>
      <w:r>
        <w:t xml:space="preserve"> J, </w:t>
      </w:r>
      <w:proofErr w:type="spellStart"/>
      <w:r>
        <w:t>Lachtara</w:t>
      </w:r>
      <w:proofErr w:type="spellEnd"/>
      <w:r>
        <w:t xml:space="preserve"> B, Wieczorek K. Listeria monocytogenes – How This Pathogen Survives in Food-Production Environments? Front </w:t>
      </w:r>
      <w:proofErr w:type="spellStart"/>
      <w:r>
        <w:t>Microbiol</w:t>
      </w:r>
      <w:proofErr w:type="spellEnd"/>
      <w:r>
        <w:t xml:space="preserve"> [Internet] </w:t>
      </w:r>
      <w:proofErr w:type="gramStart"/>
      <w:r>
        <w:t>2022;13:866462</w:t>
      </w:r>
      <w:proofErr w:type="gramEnd"/>
      <w:r>
        <w:t>. doi:10.3389/fmicb.2022.866462.</w:t>
      </w:r>
    </w:p>
    <w:p w14:paraId="140D0826" w14:textId="77777777" w:rsidR="004C1A59" w:rsidRDefault="004C1A59" w:rsidP="004C1A59">
      <w:pPr>
        <w:pStyle w:val="Bibliography"/>
      </w:pPr>
      <w:r>
        <w:t>[3</w:t>
      </w:r>
      <w:proofErr w:type="gramStart"/>
      <w:r>
        <w:t xml:space="preserve">] </w:t>
      </w:r>
      <w:r>
        <w:tab/>
        <w:t>World</w:t>
      </w:r>
      <w:proofErr w:type="gramEnd"/>
      <w:r>
        <w:t xml:space="preserve"> Health Organization. Listeriosis [Internet]. 2024 [cited 2025 Sept 10]. https://www.who.int/news-room/fact-sheets/detail/listeriosis.</w:t>
      </w:r>
    </w:p>
    <w:p w14:paraId="52FE682E" w14:textId="77777777" w:rsidR="004C1A59" w:rsidRDefault="004C1A59" w:rsidP="004C1A59">
      <w:pPr>
        <w:pStyle w:val="Bibliography"/>
      </w:pPr>
      <w:r w:rsidRPr="004C1A59">
        <w:rPr>
          <w:lang w:val="sv-SE"/>
        </w:rPr>
        <w:t xml:space="preserve">[4] </w:t>
      </w:r>
      <w:r w:rsidRPr="004C1A59">
        <w:rPr>
          <w:lang w:val="sv-SE"/>
        </w:rPr>
        <w:tab/>
        <w:t xml:space="preserve">Koopmans MM, Brouwer MC, Vázquez-Boland JA, Van De Beek D. Human Listeriosis. </w:t>
      </w:r>
      <w:r>
        <w:t xml:space="preserve">Clin </w:t>
      </w:r>
      <w:proofErr w:type="spellStart"/>
      <w:r>
        <w:t>Microbiol</w:t>
      </w:r>
      <w:proofErr w:type="spellEnd"/>
      <w:r>
        <w:t xml:space="preserve"> Rev [Internet] 2023;</w:t>
      </w:r>
      <w:proofErr w:type="gramStart"/>
      <w:r>
        <w:t>36:e</w:t>
      </w:r>
      <w:proofErr w:type="gramEnd"/>
      <w:r>
        <w:t>00060-19. doi:10.1128/cmr.00060-19.</w:t>
      </w:r>
    </w:p>
    <w:p w14:paraId="04EF8667" w14:textId="77777777" w:rsidR="004C1A59" w:rsidRDefault="004C1A59" w:rsidP="004C1A59">
      <w:pPr>
        <w:pStyle w:val="Bibliography"/>
      </w:pPr>
      <w:r>
        <w:t>[5</w:t>
      </w:r>
      <w:proofErr w:type="gramStart"/>
      <w:r>
        <w:t xml:space="preserve">] </w:t>
      </w:r>
      <w:r>
        <w:tab/>
      </w:r>
      <w:proofErr w:type="spellStart"/>
      <w:r>
        <w:t>Schlech</w:t>
      </w:r>
      <w:proofErr w:type="spellEnd"/>
      <w:proofErr w:type="gramEnd"/>
      <w:r>
        <w:t xml:space="preserve"> WF. Epidemiology and Clinical Manifestations of </w:t>
      </w:r>
      <w:r>
        <w:rPr>
          <w:i/>
          <w:iCs/>
        </w:rPr>
        <w:t>Listeria monocytogenes</w:t>
      </w:r>
      <w:r>
        <w:t xml:space="preserve"> Infection. </w:t>
      </w:r>
      <w:proofErr w:type="spellStart"/>
      <w:r>
        <w:t>Microbiol</w:t>
      </w:r>
      <w:proofErr w:type="spellEnd"/>
      <w:r>
        <w:t xml:space="preserve"> </w:t>
      </w:r>
      <w:proofErr w:type="spellStart"/>
      <w:r>
        <w:t>Spectr</w:t>
      </w:r>
      <w:proofErr w:type="spellEnd"/>
      <w:r>
        <w:t xml:space="preserve"> [Internet] </w:t>
      </w:r>
      <w:proofErr w:type="gramStart"/>
      <w:r>
        <w:t>2019;7:7</w:t>
      </w:r>
      <w:proofErr w:type="gramEnd"/>
      <w:r>
        <w:t xml:space="preserve">.3.3. </w:t>
      </w:r>
      <w:proofErr w:type="gramStart"/>
      <w:r>
        <w:t>doi:10.1128/microbiolspec.GPP3</w:t>
      </w:r>
      <w:proofErr w:type="gramEnd"/>
      <w:r>
        <w:t>-0014-2018.</w:t>
      </w:r>
    </w:p>
    <w:p w14:paraId="7403E126" w14:textId="77777777" w:rsidR="004C1A59" w:rsidRDefault="004C1A59" w:rsidP="004C1A59">
      <w:pPr>
        <w:pStyle w:val="Bibliography"/>
      </w:pPr>
      <w:r>
        <w:t xml:space="preserve">[6] </w:t>
      </w:r>
      <w:r>
        <w:tab/>
        <w:t xml:space="preserve">De </w:t>
      </w:r>
      <w:proofErr w:type="spellStart"/>
      <w:r>
        <w:t>Noordhout</w:t>
      </w:r>
      <w:proofErr w:type="spellEnd"/>
      <w:r>
        <w:t xml:space="preserve"> CM, </w:t>
      </w:r>
      <w:proofErr w:type="spellStart"/>
      <w:r>
        <w:t>Devleesschauwer</w:t>
      </w:r>
      <w:proofErr w:type="spellEnd"/>
      <w:r>
        <w:t xml:space="preserve"> B, Angulo FJ, Verbeke G, Haagsma J, Kirk M, et al. The global burden of listeriosis: a systematic review and meta-analysis. The Lancet Infectious Diseases [Internet] </w:t>
      </w:r>
      <w:proofErr w:type="gramStart"/>
      <w:r>
        <w:t>2014;14:1073</w:t>
      </w:r>
      <w:proofErr w:type="gramEnd"/>
      <w:r>
        <w:t>–82. doi:10.1016/S1473-3099(14)70870-9.</w:t>
      </w:r>
    </w:p>
    <w:p w14:paraId="53E176CC" w14:textId="77777777" w:rsidR="004C1A59" w:rsidRDefault="004C1A59" w:rsidP="004C1A59">
      <w:pPr>
        <w:pStyle w:val="Bibliography"/>
      </w:pPr>
      <w:r>
        <w:t xml:space="preserve">[7] </w:t>
      </w:r>
      <w:r>
        <w:tab/>
        <w:t xml:space="preserve">Duma MN, </w:t>
      </w:r>
      <w:proofErr w:type="spellStart"/>
      <w:r>
        <w:t>Ciupescu</w:t>
      </w:r>
      <w:proofErr w:type="spellEnd"/>
      <w:r>
        <w:t xml:space="preserve"> LM, Dan SD, Crisan-Reget OL, </w:t>
      </w:r>
      <w:proofErr w:type="spellStart"/>
      <w:r>
        <w:t>Tabaran</w:t>
      </w:r>
      <w:proofErr w:type="spellEnd"/>
      <w:r>
        <w:t xml:space="preserve"> A. Virulence and Antimicrobial Resistance of Listeria monocytogenes Isolated from Ready-to-Eat Food Products in Romania. Microorganisms [Internet] </w:t>
      </w:r>
      <w:proofErr w:type="gramStart"/>
      <w:r>
        <w:t>2024;12:954</w:t>
      </w:r>
      <w:proofErr w:type="gramEnd"/>
      <w:r>
        <w:t>. doi:10.3390/microorganisms12050954.</w:t>
      </w:r>
    </w:p>
    <w:p w14:paraId="0B976407" w14:textId="77777777" w:rsidR="004C1A59" w:rsidRDefault="004C1A59" w:rsidP="004C1A59">
      <w:pPr>
        <w:pStyle w:val="Bibliography"/>
      </w:pPr>
      <w:r>
        <w:t>[8</w:t>
      </w:r>
      <w:proofErr w:type="gramStart"/>
      <w:r>
        <w:t xml:space="preserve">] </w:t>
      </w:r>
      <w:r>
        <w:tab/>
        <w:t>Dabiri</w:t>
      </w:r>
      <w:proofErr w:type="gramEnd"/>
      <w:r>
        <w:t xml:space="preserve"> GA, Sanger JM, Portnoy DA, Southwick FS. Listeria monocytogenes moves rapidly through the host-cell cytoplasm by inducing directional actin assembly. Proc Natl </w:t>
      </w:r>
      <w:proofErr w:type="spellStart"/>
      <w:r>
        <w:t>Acad</w:t>
      </w:r>
      <w:proofErr w:type="spellEnd"/>
      <w:r>
        <w:t xml:space="preserve"> Sci USA [Internet] </w:t>
      </w:r>
      <w:proofErr w:type="gramStart"/>
      <w:r>
        <w:t>1990;87:6068</w:t>
      </w:r>
      <w:proofErr w:type="gramEnd"/>
      <w:r>
        <w:t>–72. doi:10.1073/pnas.87.16.6068.</w:t>
      </w:r>
    </w:p>
    <w:p w14:paraId="49E513F2" w14:textId="77777777" w:rsidR="004C1A59" w:rsidRDefault="004C1A59" w:rsidP="004C1A59">
      <w:pPr>
        <w:pStyle w:val="Bibliography"/>
      </w:pPr>
      <w:r>
        <w:t xml:space="preserve">[9] </w:t>
      </w:r>
      <w:r>
        <w:tab/>
        <w:t xml:space="preserve">Luque-Sastre L, Arroyo C, Fox EM, McMahon BJ, Bai L, Li F, et al. Antimicrobial Resistance in </w:t>
      </w:r>
      <w:r>
        <w:rPr>
          <w:i/>
          <w:iCs/>
        </w:rPr>
        <w:t>Listeria</w:t>
      </w:r>
      <w:r>
        <w:t xml:space="preserve"> Species. </w:t>
      </w:r>
      <w:proofErr w:type="spellStart"/>
      <w:r>
        <w:t>Microbiol</w:t>
      </w:r>
      <w:proofErr w:type="spellEnd"/>
      <w:r>
        <w:t xml:space="preserve"> </w:t>
      </w:r>
      <w:proofErr w:type="spellStart"/>
      <w:r>
        <w:t>Spectr</w:t>
      </w:r>
      <w:proofErr w:type="spellEnd"/>
      <w:r>
        <w:t xml:space="preserve"> [Internet] </w:t>
      </w:r>
      <w:proofErr w:type="gramStart"/>
      <w:r>
        <w:t>2018;6:6</w:t>
      </w:r>
      <w:proofErr w:type="gramEnd"/>
      <w:r>
        <w:t xml:space="preserve">.4.19. </w:t>
      </w:r>
      <w:proofErr w:type="gramStart"/>
      <w:r>
        <w:t>doi:10.1128/microbiolspec.ARBA</w:t>
      </w:r>
      <w:proofErr w:type="gramEnd"/>
      <w:r>
        <w:t>-0031-2017.</w:t>
      </w:r>
    </w:p>
    <w:p w14:paraId="743AF59D" w14:textId="77777777" w:rsidR="004C1A59" w:rsidRDefault="004C1A59" w:rsidP="004C1A59">
      <w:pPr>
        <w:pStyle w:val="Bibliography"/>
      </w:pPr>
      <w:r>
        <w:t xml:space="preserve">[10] </w:t>
      </w:r>
      <w:r>
        <w:tab/>
        <w:t xml:space="preserve">Arias Moreno X. Targeting </w:t>
      </w:r>
      <w:proofErr w:type="spellStart"/>
      <w:r>
        <w:t>PrfA</w:t>
      </w:r>
      <w:proofErr w:type="spellEnd"/>
      <w:r>
        <w:t xml:space="preserve"> from Listeria monocytogenes: a computational drug repurposing approach [Internet]. 2023 [cited 2025 Sept 9]. doi:10.1101/2023.12.10.570966.</w:t>
      </w:r>
    </w:p>
    <w:p w14:paraId="14ED8BE9" w14:textId="77777777" w:rsidR="004C1A59" w:rsidRDefault="004C1A59" w:rsidP="004C1A59">
      <w:pPr>
        <w:pStyle w:val="Bibliography"/>
      </w:pPr>
      <w:r>
        <w:t>[11</w:t>
      </w:r>
      <w:proofErr w:type="gramStart"/>
      <w:r>
        <w:t xml:space="preserve">] </w:t>
      </w:r>
      <w:r>
        <w:tab/>
        <w:t>Sabet</w:t>
      </w:r>
      <w:proofErr w:type="gramEnd"/>
      <w:r>
        <w:t xml:space="preserve"> C, </w:t>
      </w:r>
      <w:proofErr w:type="spellStart"/>
      <w:r>
        <w:t>Lecuit</w:t>
      </w:r>
      <w:proofErr w:type="spellEnd"/>
      <w:r>
        <w:t xml:space="preserve"> M, Cabanes D, Cossart P, </w:t>
      </w:r>
      <w:proofErr w:type="spellStart"/>
      <w:r>
        <w:t>Bierne</w:t>
      </w:r>
      <w:proofErr w:type="spellEnd"/>
      <w:r>
        <w:t xml:space="preserve"> H. LPXTG Protein </w:t>
      </w:r>
      <w:proofErr w:type="spellStart"/>
      <w:r>
        <w:t>InlJ</w:t>
      </w:r>
      <w:proofErr w:type="spellEnd"/>
      <w:r>
        <w:t xml:space="preserve">, a Newly Identified Internalin Involved in </w:t>
      </w:r>
      <w:r>
        <w:rPr>
          <w:i/>
          <w:iCs/>
        </w:rPr>
        <w:t>Listeria monocytogenes</w:t>
      </w:r>
      <w:r>
        <w:t xml:space="preserve"> Virulence. Infect </w:t>
      </w:r>
      <w:proofErr w:type="spellStart"/>
      <w:r>
        <w:t>Immun</w:t>
      </w:r>
      <w:proofErr w:type="spellEnd"/>
      <w:r>
        <w:t xml:space="preserve"> [Internet] </w:t>
      </w:r>
      <w:proofErr w:type="gramStart"/>
      <w:r>
        <w:t>2005;73:6912</w:t>
      </w:r>
      <w:proofErr w:type="gramEnd"/>
      <w:r>
        <w:t>–22. doi:10.1128/IAI.73.10.6912-6922.2005.</w:t>
      </w:r>
    </w:p>
    <w:p w14:paraId="781D377E" w14:textId="77777777" w:rsidR="004C1A59" w:rsidRPr="004C1A59" w:rsidRDefault="004C1A59" w:rsidP="004C1A59">
      <w:pPr>
        <w:pStyle w:val="Bibliography"/>
        <w:rPr>
          <w:lang w:val="sv-SE"/>
        </w:rPr>
      </w:pPr>
      <w:r>
        <w:t>[12</w:t>
      </w:r>
      <w:proofErr w:type="gramStart"/>
      <w:r>
        <w:t xml:space="preserve">] </w:t>
      </w:r>
      <w:r>
        <w:tab/>
        <w:t>Ortega</w:t>
      </w:r>
      <w:proofErr w:type="gramEnd"/>
      <w:r>
        <w:t xml:space="preserve"> FE, Rengarajan M, Chavez N, Radhakrishnan P, </w:t>
      </w:r>
      <w:proofErr w:type="spellStart"/>
      <w:r>
        <w:t>Gloerich</w:t>
      </w:r>
      <w:proofErr w:type="spellEnd"/>
      <w:r>
        <w:t xml:space="preserve"> M, Bianchini J, et al. Adhesion to the host cell surface is sufficient to mediate </w:t>
      </w:r>
      <w:r>
        <w:rPr>
          <w:i/>
          <w:iCs/>
        </w:rPr>
        <w:t>Listeria monocytogenes</w:t>
      </w:r>
      <w:r>
        <w:t xml:space="preserve"> entry into epithelial cells. </w:t>
      </w:r>
      <w:r w:rsidRPr="004C1A59">
        <w:rPr>
          <w:lang w:val="sv-SE"/>
        </w:rPr>
        <w:t>MBoC [Internet] 2017;28:2945–57. doi:10.1091/mbc.e16-12-0851.</w:t>
      </w:r>
    </w:p>
    <w:p w14:paraId="13E6D26A" w14:textId="77777777" w:rsidR="004C1A59" w:rsidRDefault="004C1A59" w:rsidP="004C1A59">
      <w:pPr>
        <w:pStyle w:val="Bibliography"/>
      </w:pPr>
      <w:r w:rsidRPr="004C1A59">
        <w:rPr>
          <w:lang w:val="sv-SE"/>
        </w:rPr>
        <w:lastRenderedPageBreak/>
        <w:t xml:space="preserve">[13] </w:t>
      </w:r>
      <w:r w:rsidRPr="004C1A59">
        <w:rPr>
          <w:lang w:val="sv-SE"/>
        </w:rPr>
        <w:tab/>
        <w:t xml:space="preserve">Gedde MM, Higgins DE, Tilney LG, Portnoy DA. </w:t>
      </w:r>
      <w:r>
        <w:t xml:space="preserve">Role of </w:t>
      </w:r>
      <w:proofErr w:type="spellStart"/>
      <w:r>
        <w:t>Listeriolysin</w:t>
      </w:r>
      <w:proofErr w:type="spellEnd"/>
      <w:r>
        <w:t xml:space="preserve"> O in Cell-to-Cell Spread of </w:t>
      </w:r>
      <w:r>
        <w:rPr>
          <w:i/>
          <w:iCs/>
        </w:rPr>
        <w:t>Listeria monocytogenes</w:t>
      </w:r>
      <w:r>
        <w:t xml:space="preserve">. Infect </w:t>
      </w:r>
      <w:proofErr w:type="spellStart"/>
      <w:r>
        <w:t>Immun</w:t>
      </w:r>
      <w:proofErr w:type="spellEnd"/>
      <w:r>
        <w:t xml:space="preserve"> [Internet] </w:t>
      </w:r>
      <w:proofErr w:type="gramStart"/>
      <w:r>
        <w:t>2000;68:999</w:t>
      </w:r>
      <w:proofErr w:type="gramEnd"/>
      <w:r>
        <w:t>–1003. doi:10.1128/IAI.68.2.999-1003.2000.</w:t>
      </w:r>
    </w:p>
    <w:p w14:paraId="1922E6E1" w14:textId="77777777" w:rsidR="004C1A59" w:rsidRDefault="004C1A59" w:rsidP="004C1A59">
      <w:pPr>
        <w:pStyle w:val="Bibliography"/>
      </w:pPr>
      <w:r>
        <w:t xml:space="preserve">[14] </w:t>
      </w:r>
      <w:r>
        <w:tab/>
      </w:r>
      <w:proofErr w:type="spellStart"/>
      <w:r>
        <w:t>Personnic</w:t>
      </w:r>
      <w:proofErr w:type="spellEnd"/>
      <w:r>
        <w:t xml:space="preserve"> N, Bruck S, </w:t>
      </w:r>
      <w:proofErr w:type="spellStart"/>
      <w:r>
        <w:t>Nahori</w:t>
      </w:r>
      <w:proofErr w:type="spellEnd"/>
      <w:r>
        <w:t xml:space="preserve"> MA, Toledo-Arana A, Nikitas G, </w:t>
      </w:r>
      <w:proofErr w:type="spellStart"/>
      <w:r>
        <w:t>Lecuit</w:t>
      </w:r>
      <w:proofErr w:type="spellEnd"/>
      <w:r>
        <w:t xml:space="preserve"> M, et al. The Stress-Induced Virulence Protein </w:t>
      </w:r>
      <w:proofErr w:type="spellStart"/>
      <w:r>
        <w:t>InlH</w:t>
      </w:r>
      <w:proofErr w:type="spellEnd"/>
      <w:r>
        <w:t xml:space="preserve"> Controls Interleukin-6 Production during Murine Listeriosis. Infect </w:t>
      </w:r>
      <w:proofErr w:type="spellStart"/>
      <w:r>
        <w:t>Immun</w:t>
      </w:r>
      <w:proofErr w:type="spellEnd"/>
      <w:r>
        <w:t xml:space="preserve"> [Internet] </w:t>
      </w:r>
      <w:proofErr w:type="gramStart"/>
      <w:r>
        <w:t>2010;78:1979</w:t>
      </w:r>
      <w:proofErr w:type="gramEnd"/>
      <w:r>
        <w:t>–89. doi:10.1128/IAI.01096-09.</w:t>
      </w:r>
    </w:p>
    <w:p w14:paraId="6B000C52" w14:textId="77777777" w:rsidR="004C1A59" w:rsidRDefault="004C1A59" w:rsidP="004C1A59">
      <w:pPr>
        <w:pStyle w:val="Bibliography"/>
      </w:pPr>
      <w:r>
        <w:t>[15</w:t>
      </w:r>
      <w:proofErr w:type="gramStart"/>
      <w:r>
        <w:t xml:space="preserve">] </w:t>
      </w:r>
      <w:r>
        <w:tab/>
        <w:t>Lee</w:t>
      </w:r>
      <w:proofErr w:type="gramEnd"/>
      <w:r>
        <w:t xml:space="preserve"> JW, Maria-Solano MA, Vu TNL, Yoon S, Choi S. Big data and artificial intelligence (AI) methodologies for computer-aided drug design (CADD). Biochemical Society Transactions [Internet] </w:t>
      </w:r>
      <w:proofErr w:type="gramStart"/>
      <w:r>
        <w:t>2022;50:241</w:t>
      </w:r>
      <w:proofErr w:type="gramEnd"/>
      <w:r>
        <w:t>–52. doi:10.1042/BST20211240.</w:t>
      </w:r>
    </w:p>
    <w:p w14:paraId="7BE583AC" w14:textId="77777777" w:rsidR="004C1A59" w:rsidRDefault="004C1A59" w:rsidP="004C1A59">
      <w:pPr>
        <w:pStyle w:val="Bibliography"/>
      </w:pPr>
      <w:r>
        <w:t xml:space="preserve">[16] </w:t>
      </w:r>
      <w:r>
        <w:tab/>
        <w:t xml:space="preserve">Wong F, Krishnan A, Zheng EJ, Stärk H, Manson AL, Earl AM, et al. Benchmarking </w:t>
      </w:r>
      <w:r>
        <w:rPr>
          <w:smallCaps/>
        </w:rPr>
        <w:t>AlphaFold</w:t>
      </w:r>
      <w:r>
        <w:t xml:space="preserve"> ‐enabled molecular docking predictions for antibiotic discovery. Molecular Systems Biology [Internet] 2022;</w:t>
      </w:r>
      <w:proofErr w:type="gramStart"/>
      <w:r>
        <w:t>18:e</w:t>
      </w:r>
      <w:proofErr w:type="gramEnd"/>
      <w:r>
        <w:t>11081. doi:10.15252/msb.202211081.</w:t>
      </w:r>
    </w:p>
    <w:p w14:paraId="2EF94E41" w14:textId="77777777" w:rsidR="004C1A59" w:rsidRDefault="004C1A59" w:rsidP="004C1A59">
      <w:pPr>
        <w:pStyle w:val="Bibliography"/>
      </w:pPr>
      <w:r>
        <w:t>[17</w:t>
      </w:r>
      <w:proofErr w:type="gramStart"/>
      <w:r>
        <w:t xml:space="preserve">] </w:t>
      </w:r>
      <w:r>
        <w:tab/>
      </w:r>
      <w:proofErr w:type="spellStart"/>
      <w:r>
        <w:t>Brogi</w:t>
      </w:r>
      <w:proofErr w:type="spellEnd"/>
      <w:proofErr w:type="gramEnd"/>
      <w:r>
        <w:t xml:space="preserve"> S. Computational Approaches for Drug Discovery. Molecules [Internet] </w:t>
      </w:r>
      <w:proofErr w:type="gramStart"/>
      <w:r>
        <w:t>2019;24:3061</w:t>
      </w:r>
      <w:proofErr w:type="gramEnd"/>
      <w:r>
        <w:t>. doi:10.3390/molecules24173061.</w:t>
      </w:r>
    </w:p>
    <w:p w14:paraId="2D3BD554" w14:textId="77777777" w:rsidR="004C1A59" w:rsidRDefault="004C1A59" w:rsidP="004C1A59">
      <w:pPr>
        <w:pStyle w:val="Bibliography"/>
      </w:pPr>
      <w:r>
        <w:t xml:space="preserve">[18] </w:t>
      </w:r>
      <w:r>
        <w:tab/>
        <w:t xml:space="preserve">Guan L, Yang H, Cai Y, Sun L, Di P, Li W, et al. ADMET-score – a comprehensive scoring function for evaluation of chemical drug-likeness. Med Chem Commun [Internet] </w:t>
      </w:r>
      <w:proofErr w:type="gramStart"/>
      <w:r>
        <w:t>2019;10:148</w:t>
      </w:r>
      <w:proofErr w:type="gramEnd"/>
      <w:r>
        <w:t>–57. doi:10.1039/C8MD00472B.</w:t>
      </w:r>
    </w:p>
    <w:p w14:paraId="6B73B674" w14:textId="77777777" w:rsidR="004C1A59" w:rsidRDefault="004C1A59" w:rsidP="004C1A59">
      <w:pPr>
        <w:pStyle w:val="Bibliography"/>
      </w:pPr>
      <w:r>
        <w:t xml:space="preserve">[19] </w:t>
      </w:r>
      <w:r>
        <w:tab/>
        <w:t xml:space="preserve">Guedes IA, de Magalhães CS, Dardenne LE. Receptor–ligand molecular docking. Biophysical Reviews [Internet] </w:t>
      </w:r>
      <w:proofErr w:type="gramStart"/>
      <w:r>
        <w:t>2014;6:75</w:t>
      </w:r>
      <w:proofErr w:type="gramEnd"/>
      <w:r>
        <w:t>–87. doi:10.1007/s12551-013-0130-2.</w:t>
      </w:r>
    </w:p>
    <w:p w14:paraId="512B7028" w14:textId="77777777" w:rsidR="004C1A59" w:rsidRDefault="004C1A59" w:rsidP="004C1A59">
      <w:pPr>
        <w:pStyle w:val="Bibliography"/>
      </w:pPr>
      <w:r>
        <w:t>[20</w:t>
      </w:r>
      <w:proofErr w:type="gramStart"/>
      <w:r>
        <w:t xml:space="preserve">] </w:t>
      </w:r>
      <w:r>
        <w:tab/>
        <w:t>Meng</w:t>
      </w:r>
      <w:proofErr w:type="gramEnd"/>
      <w:r>
        <w:t xml:space="preserve"> XY, Zhang HX, Mezei M, Cui M. Molecular Docking: A Powerful Approach for Structure-Based Drug Discovery. CAD [Internet] </w:t>
      </w:r>
      <w:proofErr w:type="gramStart"/>
      <w:r>
        <w:t>2011;7:146</w:t>
      </w:r>
      <w:proofErr w:type="gramEnd"/>
      <w:r>
        <w:t>–57. doi:10.2174/157340911795677602.</w:t>
      </w:r>
    </w:p>
    <w:p w14:paraId="0A7A9DA7" w14:textId="77777777" w:rsidR="004C1A59" w:rsidRDefault="004C1A59" w:rsidP="004C1A59">
      <w:pPr>
        <w:pStyle w:val="Bibliography"/>
      </w:pPr>
      <w:r>
        <w:t>[21</w:t>
      </w:r>
      <w:proofErr w:type="gramStart"/>
      <w:r>
        <w:t xml:space="preserve">] </w:t>
      </w:r>
      <w:r>
        <w:tab/>
        <w:t>De</w:t>
      </w:r>
      <w:proofErr w:type="gramEnd"/>
      <w:r>
        <w:t xml:space="preserve"> Vivo M, </w:t>
      </w:r>
      <w:proofErr w:type="spellStart"/>
      <w:r>
        <w:t>Masetti</w:t>
      </w:r>
      <w:proofErr w:type="spellEnd"/>
      <w:r>
        <w:t xml:space="preserve"> M, </w:t>
      </w:r>
      <w:proofErr w:type="spellStart"/>
      <w:r>
        <w:t>Bottegoni</w:t>
      </w:r>
      <w:proofErr w:type="spellEnd"/>
      <w:r>
        <w:t xml:space="preserve"> G, Cavalli A. Role of Molecular Dynamics and Related Methods in Drug Discovery. J Med Chem [Internet] </w:t>
      </w:r>
      <w:proofErr w:type="gramStart"/>
      <w:r>
        <w:t>2016;59:4035</w:t>
      </w:r>
      <w:proofErr w:type="gramEnd"/>
      <w:r>
        <w:t xml:space="preserve">–61. </w:t>
      </w:r>
      <w:proofErr w:type="gramStart"/>
      <w:r>
        <w:t>doi:10.1021/acs.jmedchem</w:t>
      </w:r>
      <w:proofErr w:type="gramEnd"/>
      <w:r>
        <w:t>.5b01684.</w:t>
      </w:r>
    </w:p>
    <w:p w14:paraId="1CFED175" w14:textId="77777777" w:rsidR="004C1A59" w:rsidRDefault="004C1A59" w:rsidP="004C1A59">
      <w:pPr>
        <w:pStyle w:val="Bibliography"/>
      </w:pPr>
      <w:r>
        <w:t>[22</w:t>
      </w:r>
      <w:proofErr w:type="gramStart"/>
      <w:r>
        <w:t xml:space="preserve">] </w:t>
      </w:r>
      <w:r>
        <w:tab/>
      </w:r>
      <w:proofErr w:type="spellStart"/>
      <w:r>
        <w:t>Genheden</w:t>
      </w:r>
      <w:proofErr w:type="spellEnd"/>
      <w:proofErr w:type="gramEnd"/>
      <w:r>
        <w:t xml:space="preserve"> S, Ryde U. The MM/PBSA and MM/GBSA methods to estimate ligand-binding affinities. Expert Opinion on Drug Discovery [Internet] </w:t>
      </w:r>
      <w:proofErr w:type="gramStart"/>
      <w:r>
        <w:t>2015;10:449</w:t>
      </w:r>
      <w:proofErr w:type="gramEnd"/>
      <w:r>
        <w:t>–61. doi:10.1517/17460441.2015.1032936.</w:t>
      </w:r>
    </w:p>
    <w:p w14:paraId="76B63B69" w14:textId="77777777" w:rsidR="004C1A59" w:rsidRDefault="004C1A59" w:rsidP="004C1A59">
      <w:pPr>
        <w:pStyle w:val="Bibliography"/>
      </w:pPr>
      <w:r>
        <w:t xml:space="preserve">[23] </w:t>
      </w:r>
      <w:r>
        <w:tab/>
        <w:t xml:space="preserve">Wang E, Sun H, Wang J, Wang Z, Liu H, Zhang JZH, et al. End-Point Binding Free Energy Calculation with MM/PBSA and MM/GBSA: Strategies and Applications in Drug Design. Chem Rev [Internet] </w:t>
      </w:r>
      <w:proofErr w:type="gramStart"/>
      <w:r>
        <w:t>2019;119:9478</w:t>
      </w:r>
      <w:proofErr w:type="gramEnd"/>
      <w:r>
        <w:t xml:space="preserve">–508. </w:t>
      </w:r>
      <w:proofErr w:type="gramStart"/>
      <w:r>
        <w:t>doi:10.1021/acs.chemrev</w:t>
      </w:r>
      <w:proofErr w:type="gramEnd"/>
      <w:r>
        <w:t>.9b00055.</w:t>
      </w:r>
    </w:p>
    <w:p w14:paraId="4812170B" w14:textId="77777777" w:rsidR="004C1A59" w:rsidRDefault="004C1A59" w:rsidP="004C1A59">
      <w:pPr>
        <w:pStyle w:val="Bibliography"/>
      </w:pPr>
      <w:r>
        <w:t>[24</w:t>
      </w:r>
      <w:proofErr w:type="gramStart"/>
      <w:r>
        <w:t xml:space="preserve">] </w:t>
      </w:r>
      <w:r>
        <w:tab/>
        <w:t>Fukui</w:t>
      </w:r>
      <w:proofErr w:type="gramEnd"/>
      <w:r>
        <w:t xml:space="preserve"> K. Role of Frontier Orbitals in Chemical Reactions. Science [Internet] </w:t>
      </w:r>
      <w:proofErr w:type="gramStart"/>
      <w:r>
        <w:t>1982;218:747</w:t>
      </w:r>
      <w:proofErr w:type="gramEnd"/>
      <w:r>
        <w:t>–54. doi:10.1126/science.218.4574.747.</w:t>
      </w:r>
    </w:p>
    <w:p w14:paraId="790ACA0C" w14:textId="77777777" w:rsidR="004C1A59" w:rsidRDefault="004C1A59" w:rsidP="004C1A59">
      <w:pPr>
        <w:pStyle w:val="Bibliography"/>
      </w:pPr>
      <w:r>
        <w:lastRenderedPageBreak/>
        <w:t>[25</w:t>
      </w:r>
      <w:proofErr w:type="gramStart"/>
      <w:r>
        <w:t xml:space="preserve">] </w:t>
      </w:r>
      <w:r>
        <w:tab/>
        <w:t>Pearson</w:t>
      </w:r>
      <w:proofErr w:type="gramEnd"/>
      <w:r>
        <w:t xml:space="preserve"> RG. Absolute electronegativity and hardness: application to inorganic chemistry. </w:t>
      </w:r>
      <w:proofErr w:type="spellStart"/>
      <w:r>
        <w:t>Inorg</w:t>
      </w:r>
      <w:proofErr w:type="spellEnd"/>
      <w:r>
        <w:t xml:space="preserve"> Chem [Internet] </w:t>
      </w:r>
      <w:proofErr w:type="gramStart"/>
      <w:r>
        <w:t>1988;27:734</w:t>
      </w:r>
      <w:proofErr w:type="gramEnd"/>
      <w:r>
        <w:t>–40. doi:10.1021/ic00277a030.</w:t>
      </w:r>
    </w:p>
    <w:p w14:paraId="2DF63262" w14:textId="77777777" w:rsidR="004C1A59" w:rsidRDefault="004C1A59" w:rsidP="004C1A59">
      <w:pPr>
        <w:pStyle w:val="Bibliography"/>
      </w:pPr>
      <w:r>
        <w:t xml:space="preserve">[26] </w:t>
      </w:r>
      <w:r>
        <w:tab/>
        <w:t xml:space="preserve">Morris GM, Huey R, Lindstrom W, Sanner MF, Belew RK, Goodsell DS, et al. AutoDock4 and AutoDockTools4: Automated docking with selective receptor flexibility. J </w:t>
      </w:r>
      <w:proofErr w:type="spellStart"/>
      <w:r>
        <w:t>Comput</w:t>
      </w:r>
      <w:proofErr w:type="spellEnd"/>
      <w:r>
        <w:t xml:space="preserve"> Chem [Internet] </w:t>
      </w:r>
      <w:proofErr w:type="gramStart"/>
      <w:r>
        <w:t>2009;30:2785</w:t>
      </w:r>
      <w:proofErr w:type="gramEnd"/>
      <w:r>
        <w:t>–91. doi:10.1002/jcc.21256.</w:t>
      </w:r>
    </w:p>
    <w:p w14:paraId="58F7B58A" w14:textId="77777777" w:rsidR="004C1A59" w:rsidRDefault="004C1A59" w:rsidP="004C1A59">
      <w:pPr>
        <w:pStyle w:val="Bibliography"/>
      </w:pPr>
      <w:r>
        <w:t>[27</w:t>
      </w:r>
      <w:proofErr w:type="gramStart"/>
      <w:r>
        <w:t xml:space="preserve">] </w:t>
      </w:r>
      <w:r>
        <w:tab/>
        <w:t>Trott</w:t>
      </w:r>
      <w:proofErr w:type="gramEnd"/>
      <w:r>
        <w:t xml:space="preserve"> O, Olson AJ. </w:t>
      </w:r>
      <w:proofErr w:type="spellStart"/>
      <w:r>
        <w:t>AutoDock</w:t>
      </w:r>
      <w:proofErr w:type="spellEnd"/>
      <w:r>
        <w:t xml:space="preserve"> Vina: Improving the speed and accuracy of docking with a new scoring function, efficient optimization, and multithreading. J </w:t>
      </w:r>
      <w:proofErr w:type="spellStart"/>
      <w:r>
        <w:t>Comput</w:t>
      </w:r>
      <w:proofErr w:type="spellEnd"/>
      <w:r>
        <w:t xml:space="preserve"> Chem [Internet] </w:t>
      </w:r>
      <w:proofErr w:type="gramStart"/>
      <w:r>
        <w:t>2010;31:455</w:t>
      </w:r>
      <w:proofErr w:type="gramEnd"/>
      <w:r>
        <w:t>–61. doi:10.1002/jcc.21334.</w:t>
      </w:r>
    </w:p>
    <w:p w14:paraId="31FC441A" w14:textId="77777777" w:rsidR="004C1A59" w:rsidRDefault="004C1A59" w:rsidP="004C1A59">
      <w:pPr>
        <w:pStyle w:val="Bibliography"/>
      </w:pPr>
      <w:r>
        <w:t xml:space="preserve">[28] </w:t>
      </w:r>
      <w:r>
        <w:tab/>
        <w:t xml:space="preserve">O’Boyle NM, Banck M, James CA, Morley C, </w:t>
      </w:r>
      <w:proofErr w:type="spellStart"/>
      <w:r>
        <w:t>Vandermeersch</w:t>
      </w:r>
      <w:proofErr w:type="spellEnd"/>
      <w:r>
        <w:t xml:space="preserve"> T, Hutchison GR. Open Babel: An open chemical toolbox. J </w:t>
      </w:r>
      <w:proofErr w:type="spellStart"/>
      <w:r>
        <w:t>Cheminform</w:t>
      </w:r>
      <w:proofErr w:type="spellEnd"/>
      <w:r>
        <w:t xml:space="preserve"> [Internet] </w:t>
      </w:r>
      <w:proofErr w:type="gramStart"/>
      <w:r>
        <w:t>2011;3:33</w:t>
      </w:r>
      <w:proofErr w:type="gramEnd"/>
      <w:r>
        <w:t>. doi:10.1186/1758-2946-3-33.</w:t>
      </w:r>
    </w:p>
    <w:p w14:paraId="35CD7289" w14:textId="77777777" w:rsidR="004C1A59" w:rsidRDefault="004C1A59" w:rsidP="004C1A59">
      <w:pPr>
        <w:pStyle w:val="Bibliography"/>
      </w:pPr>
      <w:r>
        <w:t xml:space="preserve">[29] </w:t>
      </w:r>
      <w:r>
        <w:tab/>
        <w:t xml:space="preserve">Schrödinger, LLC. The </w:t>
      </w:r>
      <w:proofErr w:type="spellStart"/>
      <w:r>
        <w:t>PyMOL</w:t>
      </w:r>
      <w:proofErr w:type="spellEnd"/>
      <w:r>
        <w:t xml:space="preserve"> Molecular Graphics System [Internet]. 2021. http://www.pymol.org.</w:t>
      </w:r>
    </w:p>
    <w:p w14:paraId="25AFCA7D" w14:textId="77777777" w:rsidR="004C1A59" w:rsidRDefault="004C1A59" w:rsidP="004C1A59">
      <w:pPr>
        <w:pStyle w:val="Bibliography"/>
      </w:pPr>
      <w:r>
        <w:t xml:space="preserve">[30] </w:t>
      </w:r>
      <w:r>
        <w:tab/>
      </w:r>
      <w:proofErr w:type="spellStart"/>
      <w:r>
        <w:t>Adasme</w:t>
      </w:r>
      <w:proofErr w:type="spellEnd"/>
      <w:r>
        <w:t xml:space="preserve"> MF, Linnemann KL, Bolz SN, Kaiser F, </w:t>
      </w:r>
      <w:proofErr w:type="spellStart"/>
      <w:r>
        <w:t>Salentin</w:t>
      </w:r>
      <w:proofErr w:type="spellEnd"/>
      <w:r>
        <w:t xml:space="preserve"> S, Haupt VJ, et al. PLIP 2021: expanding the scope of the protein–ligand interaction profiler to DNA and RNA. Nucleic Acids Research [Internet] 2021;</w:t>
      </w:r>
      <w:proofErr w:type="gramStart"/>
      <w:r>
        <w:t>49:W</w:t>
      </w:r>
      <w:proofErr w:type="gramEnd"/>
      <w:r>
        <w:t>530–4. doi:10.1093/</w:t>
      </w:r>
      <w:proofErr w:type="spellStart"/>
      <w:r>
        <w:t>nar</w:t>
      </w:r>
      <w:proofErr w:type="spellEnd"/>
      <w:r>
        <w:t>/gkab294.</w:t>
      </w:r>
    </w:p>
    <w:p w14:paraId="63F7D348" w14:textId="77777777" w:rsidR="004C1A59" w:rsidRDefault="004C1A59" w:rsidP="004C1A59">
      <w:pPr>
        <w:pStyle w:val="Bibliography"/>
      </w:pPr>
      <w:r>
        <w:t>[31</w:t>
      </w:r>
      <w:proofErr w:type="gramStart"/>
      <w:r>
        <w:t xml:space="preserve">] </w:t>
      </w:r>
      <w:r>
        <w:tab/>
        <w:t>Daina</w:t>
      </w:r>
      <w:proofErr w:type="gramEnd"/>
      <w:r>
        <w:t xml:space="preserve"> A, </w:t>
      </w:r>
      <w:proofErr w:type="spellStart"/>
      <w:r>
        <w:t>Michielin</w:t>
      </w:r>
      <w:proofErr w:type="spellEnd"/>
      <w:r>
        <w:t xml:space="preserve"> O, Zoete V. </w:t>
      </w:r>
      <w:proofErr w:type="spellStart"/>
      <w:r>
        <w:t>SwissADME</w:t>
      </w:r>
      <w:proofErr w:type="spellEnd"/>
      <w:r>
        <w:t xml:space="preserve">: a free web tool to evaluate pharmacokinetics, drug-likeness and medicinal chemistry friendliness of small molecules. Sci Rep [Internet] </w:t>
      </w:r>
      <w:proofErr w:type="gramStart"/>
      <w:r>
        <w:t>2017;7:42717</w:t>
      </w:r>
      <w:proofErr w:type="gramEnd"/>
      <w:r>
        <w:t>. doi:10.1038/srep42717.</w:t>
      </w:r>
    </w:p>
    <w:p w14:paraId="35716200" w14:textId="77777777" w:rsidR="004C1A59" w:rsidRDefault="004C1A59" w:rsidP="004C1A59">
      <w:pPr>
        <w:pStyle w:val="Bibliography"/>
      </w:pPr>
      <w:r>
        <w:t>[32</w:t>
      </w:r>
      <w:proofErr w:type="gramStart"/>
      <w:r>
        <w:t xml:space="preserve">] </w:t>
      </w:r>
      <w:r>
        <w:tab/>
        <w:t>Berman</w:t>
      </w:r>
      <w:proofErr w:type="gramEnd"/>
      <w:r>
        <w:t xml:space="preserve"> HM. The Protein Data Bank. Nucleic Acids Research [Internet] </w:t>
      </w:r>
      <w:proofErr w:type="gramStart"/>
      <w:r>
        <w:t>2000;28:235</w:t>
      </w:r>
      <w:proofErr w:type="gramEnd"/>
      <w:r>
        <w:t>–42. doi:10.1093/</w:t>
      </w:r>
      <w:proofErr w:type="spellStart"/>
      <w:r>
        <w:t>nar</w:t>
      </w:r>
      <w:proofErr w:type="spellEnd"/>
      <w:r>
        <w:t>/28.1.235.</w:t>
      </w:r>
    </w:p>
    <w:p w14:paraId="59C9629B" w14:textId="77777777" w:rsidR="004C1A59" w:rsidRDefault="004C1A59" w:rsidP="004C1A59">
      <w:pPr>
        <w:pStyle w:val="Bibliography"/>
      </w:pPr>
      <w:r>
        <w:t>[33</w:t>
      </w:r>
      <w:proofErr w:type="gramStart"/>
      <w:r>
        <w:t xml:space="preserve">] </w:t>
      </w:r>
      <w:r>
        <w:tab/>
        <w:t>Singh</w:t>
      </w:r>
      <w:proofErr w:type="gramEnd"/>
      <w:r>
        <w:t xml:space="preserve"> UC, Kollman PA. An approach to computing electrostatic charges for molecules. J </w:t>
      </w:r>
      <w:proofErr w:type="spellStart"/>
      <w:r>
        <w:t>Comput</w:t>
      </w:r>
      <w:proofErr w:type="spellEnd"/>
      <w:r>
        <w:t xml:space="preserve"> Chem [Internet] </w:t>
      </w:r>
      <w:proofErr w:type="gramStart"/>
      <w:r>
        <w:t>1984;5:129</w:t>
      </w:r>
      <w:proofErr w:type="gramEnd"/>
      <w:r>
        <w:t>–45. doi:10.1002/jcc.540050204.</w:t>
      </w:r>
    </w:p>
    <w:p w14:paraId="1DD8AE86" w14:textId="77777777" w:rsidR="004C1A59" w:rsidRDefault="004C1A59" w:rsidP="004C1A59">
      <w:pPr>
        <w:pStyle w:val="Bibliography"/>
      </w:pPr>
      <w:r>
        <w:t>[34</w:t>
      </w:r>
      <w:proofErr w:type="gramStart"/>
      <w:r>
        <w:t xml:space="preserve">] </w:t>
      </w:r>
      <w:r>
        <w:tab/>
        <w:t>Kim</w:t>
      </w:r>
      <w:proofErr w:type="gramEnd"/>
      <w:r>
        <w:t xml:space="preserve"> S, Chen J, Cheng T, </w:t>
      </w:r>
      <w:proofErr w:type="spellStart"/>
      <w:r>
        <w:t>Gindulyte</w:t>
      </w:r>
      <w:proofErr w:type="spellEnd"/>
      <w:r>
        <w:t xml:space="preserve"> A, He J, He S, et al. PubChem 2023 update. Nucleic Acids Research [Internet] 2023;</w:t>
      </w:r>
      <w:proofErr w:type="gramStart"/>
      <w:r>
        <w:t>51:D</w:t>
      </w:r>
      <w:proofErr w:type="gramEnd"/>
      <w:r>
        <w:t>1373–80. doi:10.1093/</w:t>
      </w:r>
      <w:proofErr w:type="spellStart"/>
      <w:r>
        <w:t>nar</w:t>
      </w:r>
      <w:proofErr w:type="spellEnd"/>
      <w:r>
        <w:t>/gkac956.</w:t>
      </w:r>
    </w:p>
    <w:p w14:paraId="1CAC18D5" w14:textId="77777777" w:rsidR="004C1A59" w:rsidRDefault="004C1A59" w:rsidP="004C1A59">
      <w:pPr>
        <w:pStyle w:val="Bibliography"/>
      </w:pPr>
      <w:r>
        <w:t>[35</w:t>
      </w:r>
      <w:proofErr w:type="gramStart"/>
      <w:r>
        <w:t xml:space="preserve">] </w:t>
      </w:r>
      <w:r>
        <w:tab/>
        <w:t>Lipinski</w:t>
      </w:r>
      <w:proofErr w:type="gramEnd"/>
      <w:r>
        <w:t xml:space="preserve"> CA, Lombardo F, Dominy BW, Feeney PJ. Experimental and computational approaches to estimate solubility and permeability in drug discovery and development settings. Advanced Drug Delivery Reviews [Internet] </w:t>
      </w:r>
      <w:proofErr w:type="gramStart"/>
      <w:r>
        <w:t>1997;23:3</w:t>
      </w:r>
      <w:proofErr w:type="gramEnd"/>
      <w:r>
        <w:t>–25. doi:10.1016/S0169-409</w:t>
      </w:r>
      <w:proofErr w:type="gramStart"/>
      <w:r>
        <w:t>X(</w:t>
      </w:r>
      <w:proofErr w:type="gramEnd"/>
      <w:r>
        <w:t>96)00423-1.</w:t>
      </w:r>
    </w:p>
    <w:p w14:paraId="1141682B" w14:textId="77777777" w:rsidR="004C1A59" w:rsidRDefault="004C1A59" w:rsidP="004C1A59">
      <w:pPr>
        <w:pStyle w:val="Bibliography"/>
      </w:pPr>
      <w:r>
        <w:t>[36</w:t>
      </w:r>
      <w:proofErr w:type="gramStart"/>
      <w:r>
        <w:t xml:space="preserve">] </w:t>
      </w:r>
      <w:r>
        <w:tab/>
        <w:t>Halgren</w:t>
      </w:r>
      <w:proofErr w:type="gramEnd"/>
      <w:r>
        <w:t xml:space="preserve"> TA. Merck molecular force field. I. Basis, form, scope, parameterization, and performance of MMFF94. J </w:t>
      </w:r>
      <w:proofErr w:type="spellStart"/>
      <w:r>
        <w:t>Comput</w:t>
      </w:r>
      <w:proofErr w:type="spellEnd"/>
      <w:r>
        <w:t xml:space="preserve"> Chem [Internet] </w:t>
      </w:r>
      <w:proofErr w:type="gramStart"/>
      <w:r>
        <w:t>1996;17:490</w:t>
      </w:r>
      <w:proofErr w:type="gramEnd"/>
      <w:r>
        <w:t>–519. doi:10.1002/(SICI)1096-987</w:t>
      </w:r>
      <w:proofErr w:type="gramStart"/>
      <w:r>
        <w:t>X(</w:t>
      </w:r>
      <w:proofErr w:type="gramEnd"/>
      <w:r>
        <w:t>199604)17:5/6%3C490::AID-JCC1%3E3.0.CO;2-P.</w:t>
      </w:r>
    </w:p>
    <w:p w14:paraId="1545E35C" w14:textId="77777777" w:rsidR="004C1A59" w:rsidRDefault="004C1A59" w:rsidP="004C1A59">
      <w:pPr>
        <w:pStyle w:val="Bibliography"/>
      </w:pPr>
      <w:r>
        <w:lastRenderedPageBreak/>
        <w:t xml:space="preserve">[37] </w:t>
      </w:r>
      <w:r>
        <w:tab/>
        <w:t xml:space="preserve">Gasteiger J, Marsili M. Iterative partial equalization of orbital electronegativity—a rapid access to atomic charges. Tetrahedron [Internet] </w:t>
      </w:r>
      <w:proofErr w:type="gramStart"/>
      <w:r>
        <w:t>1980;36:3219</w:t>
      </w:r>
      <w:proofErr w:type="gramEnd"/>
      <w:r>
        <w:t>–28. doi:10.1016/0040-4020(80)80168-2.</w:t>
      </w:r>
    </w:p>
    <w:p w14:paraId="352FFA91" w14:textId="77777777" w:rsidR="004C1A59" w:rsidRDefault="004C1A59" w:rsidP="004C1A59">
      <w:pPr>
        <w:pStyle w:val="Bibliography"/>
      </w:pPr>
      <w:r>
        <w:t xml:space="preserve">[38] </w:t>
      </w:r>
      <w:r>
        <w:tab/>
        <w:t xml:space="preserve">Abraham MJ, </w:t>
      </w:r>
      <w:proofErr w:type="spellStart"/>
      <w:r>
        <w:t>Murtola</w:t>
      </w:r>
      <w:proofErr w:type="spellEnd"/>
      <w:r>
        <w:t xml:space="preserve"> T, Schulz R, Páll S, Smith JC, Hess B, et al. GROMACS: High performance molecular simulations through multi-level parallelism from laptops to supercomputers. </w:t>
      </w:r>
      <w:proofErr w:type="spellStart"/>
      <w:r>
        <w:t>SoftwareX</w:t>
      </w:r>
      <w:proofErr w:type="spellEnd"/>
      <w:r>
        <w:t xml:space="preserve"> [Internet] 2015;1–2:19–25. </w:t>
      </w:r>
      <w:proofErr w:type="gramStart"/>
      <w:r>
        <w:t>doi:10.1016/j.softx</w:t>
      </w:r>
      <w:proofErr w:type="gramEnd"/>
      <w:r>
        <w:t>.2015.06.001.</w:t>
      </w:r>
    </w:p>
    <w:p w14:paraId="0CAC64B8" w14:textId="77777777" w:rsidR="004C1A59" w:rsidRDefault="004C1A59" w:rsidP="004C1A59">
      <w:pPr>
        <w:pStyle w:val="Bibliography"/>
      </w:pPr>
      <w:r>
        <w:t xml:space="preserve">[39] </w:t>
      </w:r>
      <w:r>
        <w:tab/>
        <w:t xml:space="preserve">Lindorff‐Larsen K, Piana S, Palmo K, Maragakis P, </w:t>
      </w:r>
      <w:proofErr w:type="spellStart"/>
      <w:r>
        <w:t>Klepeis</w:t>
      </w:r>
      <w:proofErr w:type="spellEnd"/>
      <w:r>
        <w:t xml:space="preserve"> JL, Dror RO, et al. Improved side‐chain torsion potentials for the Amber ff99SB protein force field. Proteins [Internet] </w:t>
      </w:r>
      <w:proofErr w:type="gramStart"/>
      <w:r>
        <w:t>2010;78:1950</w:t>
      </w:r>
      <w:proofErr w:type="gramEnd"/>
      <w:r>
        <w:t>–8. doi:10.1002/prot.22711.</w:t>
      </w:r>
    </w:p>
    <w:p w14:paraId="4CA0AABA" w14:textId="77777777" w:rsidR="004C1A59" w:rsidRDefault="004C1A59" w:rsidP="004C1A59">
      <w:pPr>
        <w:pStyle w:val="Bibliography"/>
      </w:pPr>
      <w:r>
        <w:t xml:space="preserve">[40] </w:t>
      </w:r>
      <w:r>
        <w:tab/>
        <w:t xml:space="preserve">Wang J, Wolf RM, Caldwell JW, Kollman PA, Case DA. Development and testing of a general amber force field. J </w:t>
      </w:r>
      <w:proofErr w:type="spellStart"/>
      <w:r>
        <w:t>Comput</w:t>
      </w:r>
      <w:proofErr w:type="spellEnd"/>
      <w:r>
        <w:t xml:space="preserve"> Chem [Internet] </w:t>
      </w:r>
      <w:proofErr w:type="gramStart"/>
      <w:r>
        <w:t>2004;25:1157</w:t>
      </w:r>
      <w:proofErr w:type="gramEnd"/>
      <w:r>
        <w:t>–74. doi:10.1002/jcc.20035.</w:t>
      </w:r>
    </w:p>
    <w:p w14:paraId="4AC29123" w14:textId="77777777" w:rsidR="004C1A59" w:rsidRDefault="004C1A59" w:rsidP="004C1A59">
      <w:pPr>
        <w:pStyle w:val="Bibliography"/>
      </w:pPr>
      <w:r>
        <w:t>[41</w:t>
      </w:r>
      <w:proofErr w:type="gramStart"/>
      <w:r>
        <w:t xml:space="preserve">] </w:t>
      </w:r>
      <w:r>
        <w:tab/>
        <w:t>Jorgensen</w:t>
      </w:r>
      <w:proofErr w:type="gramEnd"/>
      <w:r>
        <w:t xml:space="preserve"> WL, Chandrasekhar J, Madura JD, Impey RW, Klein ML. Comparison of simple potential functions for simulating liquid water. The Journal of Chemical Physics [Internet] </w:t>
      </w:r>
      <w:proofErr w:type="gramStart"/>
      <w:r>
        <w:t>1983;79:926</w:t>
      </w:r>
      <w:proofErr w:type="gramEnd"/>
      <w:r>
        <w:t>–35. doi:10.1063/1.445869.</w:t>
      </w:r>
    </w:p>
    <w:p w14:paraId="2546D750" w14:textId="77777777" w:rsidR="004C1A59" w:rsidRDefault="004C1A59" w:rsidP="004C1A59">
      <w:pPr>
        <w:pStyle w:val="Bibliography"/>
      </w:pPr>
      <w:r>
        <w:t xml:space="preserve">[42] </w:t>
      </w:r>
      <w:r>
        <w:tab/>
        <w:t xml:space="preserve">Wang J, Wang W, Kollman PA, Case DA. Automatic atom type and bond type perception in molecular mechanical calculations. Journal of Molecular Graphics and Modelling [Internet] </w:t>
      </w:r>
      <w:proofErr w:type="gramStart"/>
      <w:r>
        <w:t>2006;25:247</w:t>
      </w:r>
      <w:proofErr w:type="gramEnd"/>
      <w:r>
        <w:t xml:space="preserve">–60. </w:t>
      </w:r>
      <w:proofErr w:type="gramStart"/>
      <w:r>
        <w:t>doi:10.1016/j.jmgm</w:t>
      </w:r>
      <w:proofErr w:type="gramEnd"/>
      <w:r>
        <w:t>.2005.12.005.</w:t>
      </w:r>
    </w:p>
    <w:p w14:paraId="29BEEB9C" w14:textId="77777777" w:rsidR="004C1A59" w:rsidRDefault="004C1A59" w:rsidP="004C1A59">
      <w:pPr>
        <w:pStyle w:val="Bibliography"/>
      </w:pPr>
      <w:r>
        <w:t>[43</w:t>
      </w:r>
      <w:proofErr w:type="gramStart"/>
      <w:r>
        <w:t xml:space="preserve">] </w:t>
      </w:r>
      <w:r>
        <w:tab/>
      </w:r>
      <w:proofErr w:type="spellStart"/>
      <w:r>
        <w:t>Jakalian</w:t>
      </w:r>
      <w:proofErr w:type="spellEnd"/>
      <w:proofErr w:type="gramEnd"/>
      <w:r>
        <w:t xml:space="preserve"> A, Bush BL, Jack DB, Bayly CI. Fast, efficient generation of high-quality atomic charges. AM1-BCC model: I. Method. Journal of Computational Chemistry [Internet] </w:t>
      </w:r>
      <w:proofErr w:type="gramStart"/>
      <w:r>
        <w:t>2000;21:132</w:t>
      </w:r>
      <w:proofErr w:type="gramEnd"/>
      <w:r>
        <w:t xml:space="preserve">–46. </w:t>
      </w:r>
      <w:proofErr w:type="gramStart"/>
      <w:r>
        <w:t>doi:https://doi.org/10.1002/(SICI)1096-987X(20000130)21:2</w:t>
      </w:r>
      <w:proofErr w:type="gramEnd"/>
      <w:r>
        <w:t>&lt;</w:t>
      </w:r>
      <w:proofErr w:type="gramStart"/>
      <w:r>
        <w:t>132::</w:t>
      </w:r>
      <w:proofErr w:type="gramEnd"/>
      <w:r>
        <w:t>AID-JCC5&gt;3.0.CO;2-P.</w:t>
      </w:r>
    </w:p>
    <w:p w14:paraId="1C618775" w14:textId="77777777" w:rsidR="004C1A59" w:rsidRDefault="004C1A59" w:rsidP="004C1A59">
      <w:pPr>
        <w:pStyle w:val="Bibliography"/>
      </w:pPr>
      <w:r w:rsidRPr="004C1A59">
        <w:rPr>
          <w:lang w:val="sv-SE"/>
        </w:rPr>
        <w:t xml:space="preserve">[44] </w:t>
      </w:r>
      <w:r w:rsidRPr="004C1A59">
        <w:rPr>
          <w:lang w:val="sv-SE"/>
        </w:rPr>
        <w:tab/>
        <w:t xml:space="preserve">Sousa Da Silva AW, Vranken WF. </w:t>
      </w:r>
      <w:r>
        <w:t xml:space="preserve">ACPYPE - </w:t>
      </w:r>
      <w:proofErr w:type="spellStart"/>
      <w:r>
        <w:t>AnteChamber</w:t>
      </w:r>
      <w:proofErr w:type="spellEnd"/>
      <w:r>
        <w:t xml:space="preserve"> </w:t>
      </w:r>
      <w:proofErr w:type="spellStart"/>
      <w:r>
        <w:t>PYthon</w:t>
      </w:r>
      <w:proofErr w:type="spellEnd"/>
      <w:r>
        <w:t xml:space="preserve"> Parser </w:t>
      </w:r>
      <w:proofErr w:type="spellStart"/>
      <w:r>
        <w:t>interfacE</w:t>
      </w:r>
      <w:proofErr w:type="spellEnd"/>
      <w:r>
        <w:t xml:space="preserve">. BMC Res Notes [Internet] </w:t>
      </w:r>
      <w:proofErr w:type="gramStart"/>
      <w:r>
        <w:t>2012;5:367</w:t>
      </w:r>
      <w:proofErr w:type="gramEnd"/>
      <w:r>
        <w:t>. doi:10.1186/1756-0500-5-367.</w:t>
      </w:r>
    </w:p>
    <w:p w14:paraId="6496476D" w14:textId="77777777" w:rsidR="004C1A59" w:rsidRDefault="004C1A59" w:rsidP="004C1A59">
      <w:pPr>
        <w:pStyle w:val="Bibliography"/>
      </w:pPr>
      <w:r>
        <w:t>[45</w:t>
      </w:r>
      <w:proofErr w:type="gramStart"/>
      <w:r>
        <w:t xml:space="preserve">] </w:t>
      </w:r>
      <w:r>
        <w:tab/>
        <w:t>Bussi</w:t>
      </w:r>
      <w:proofErr w:type="gramEnd"/>
      <w:r>
        <w:t xml:space="preserve"> G, Donadio D, Parrinello M. Canonical sampling through velocity rescaling. The Journal of Chemical Physics [Internet] </w:t>
      </w:r>
      <w:proofErr w:type="gramStart"/>
      <w:r>
        <w:t>2007;126:014101</w:t>
      </w:r>
      <w:proofErr w:type="gramEnd"/>
      <w:r>
        <w:t>. doi:10.1063/1.2408420.</w:t>
      </w:r>
    </w:p>
    <w:p w14:paraId="743F1C14" w14:textId="77777777" w:rsidR="004C1A59" w:rsidRDefault="004C1A59" w:rsidP="004C1A59">
      <w:pPr>
        <w:pStyle w:val="Bibliography"/>
      </w:pPr>
      <w:r>
        <w:t>[46</w:t>
      </w:r>
      <w:proofErr w:type="gramStart"/>
      <w:r>
        <w:t xml:space="preserve">] </w:t>
      </w:r>
      <w:r>
        <w:tab/>
        <w:t>Berendsen</w:t>
      </w:r>
      <w:proofErr w:type="gramEnd"/>
      <w:r>
        <w:t xml:space="preserve"> HJC, Postma JPM, Van </w:t>
      </w:r>
      <w:proofErr w:type="spellStart"/>
      <w:r>
        <w:t>Gunsteren</w:t>
      </w:r>
      <w:proofErr w:type="spellEnd"/>
      <w:r>
        <w:t xml:space="preserve"> WF, DiNola A, Haak JR. Molecular dynamics with coupling to an external bath. The Journal of Chemical Physics [Internet] </w:t>
      </w:r>
      <w:proofErr w:type="gramStart"/>
      <w:r>
        <w:t>1984;81:3684</w:t>
      </w:r>
      <w:proofErr w:type="gramEnd"/>
      <w:r>
        <w:t>–90. doi:10.1063/1.448118.</w:t>
      </w:r>
    </w:p>
    <w:p w14:paraId="3425124B" w14:textId="77777777" w:rsidR="004C1A59" w:rsidRDefault="004C1A59" w:rsidP="004C1A59">
      <w:pPr>
        <w:pStyle w:val="Bibliography"/>
      </w:pPr>
      <w:r>
        <w:t>[47</w:t>
      </w:r>
      <w:proofErr w:type="gramStart"/>
      <w:r>
        <w:t xml:space="preserve">] </w:t>
      </w:r>
      <w:r>
        <w:tab/>
        <w:t>Parrinello</w:t>
      </w:r>
      <w:proofErr w:type="gramEnd"/>
      <w:r>
        <w:t xml:space="preserve"> M, Rahman A. Polymorphic transitions in single crystals: A new molecular dynamics method. Journal of Applied Physics [Internet] </w:t>
      </w:r>
      <w:proofErr w:type="gramStart"/>
      <w:r>
        <w:t>1981;52:7182</w:t>
      </w:r>
      <w:proofErr w:type="gramEnd"/>
      <w:r>
        <w:t>–90. doi:10.1063/1.328693.</w:t>
      </w:r>
    </w:p>
    <w:p w14:paraId="0D3B97CC" w14:textId="77777777" w:rsidR="004C1A59" w:rsidRDefault="004C1A59" w:rsidP="004C1A59">
      <w:pPr>
        <w:pStyle w:val="Bibliography"/>
      </w:pPr>
      <w:r>
        <w:t>[48</w:t>
      </w:r>
      <w:proofErr w:type="gramStart"/>
      <w:r>
        <w:t xml:space="preserve">] </w:t>
      </w:r>
      <w:r>
        <w:tab/>
        <w:t>Humphrey</w:t>
      </w:r>
      <w:proofErr w:type="gramEnd"/>
      <w:r>
        <w:t xml:space="preserve"> W, Dalke A, Schulten K. VMD: Visual molecular dynamics. Journal of Molecular Graphics [Internet] </w:t>
      </w:r>
      <w:proofErr w:type="gramStart"/>
      <w:r>
        <w:t>1996;14:33</w:t>
      </w:r>
      <w:proofErr w:type="gramEnd"/>
      <w:r>
        <w:t>–8. doi:10.1016/0263-7855(96)00018-5.</w:t>
      </w:r>
    </w:p>
    <w:p w14:paraId="423B2AB3" w14:textId="77777777" w:rsidR="004C1A59" w:rsidRDefault="004C1A59" w:rsidP="004C1A59">
      <w:pPr>
        <w:pStyle w:val="Bibliography"/>
      </w:pPr>
      <w:r>
        <w:lastRenderedPageBreak/>
        <w:t>[49</w:t>
      </w:r>
      <w:proofErr w:type="gramStart"/>
      <w:r>
        <w:t xml:space="preserve">] </w:t>
      </w:r>
      <w:r>
        <w:tab/>
        <w:t>Valdés</w:t>
      </w:r>
      <w:proofErr w:type="gramEnd"/>
      <w:r>
        <w:t>-</w:t>
      </w:r>
      <w:proofErr w:type="spellStart"/>
      <w:r>
        <w:t>Tresanco</w:t>
      </w:r>
      <w:proofErr w:type="spellEnd"/>
      <w:r>
        <w:t xml:space="preserve"> MS, Valdés-</w:t>
      </w:r>
      <w:proofErr w:type="spellStart"/>
      <w:r>
        <w:t>Tresanco</w:t>
      </w:r>
      <w:proofErr w:type="spellEnd"/>
      <w:r>
        <w:t xml:space="preserve"> ME, Valiente PA, Moreno E. </w:t>
      </w:r>
      <w:proofErr w:type="spellStart"/>
      <w:r>
        <w:t>gmx_MMPBSA</w:t>
      </w:r>
      <w:proofErr w:type="spellEnd"/>
      <w:r>
        <w:t xml:space="preserve">: A New Tool to Perform End-State Free Energy Calculations with GROMACS. J Chem Theory </w:t>
      </w:r>
      <w:proofErr w:type="spellStart"/>
      <w:r>
        <w:t>Comput</w:t>
      </w:r>
      <w:proofErr w:type="spellEnd"/>
      <w:r>
        <w:t xml:space="preserve"> [Internet] </w:t>
      </w:r>
      <w:proofErr w:type="gramStart"/>
      <w:r>
        <w:t>2021;17:6281</w:t>
      </w:r>
      <w:proofErr w:type="gramEnd"/>
      <w:r>
        <w:t xml:space="preserve">–91. </w:t>
      </w:r>
      <w:proofErr w:type="gramStart"/>
      <w:r>
        <w:t>doi:10.1021/acs.jctc</w:t>
      </w:r>
      <w:proofErr w:type="gramEnd"/>
      <w:r>
        <w:t>.1c00645.</w:t>
      </w:r>
    </w:p>
    <w:p w14:paraId="72E1FAB4" w14:textId="77777777" w:rsidR="004C1A59" w:rsidRDefault="004C1A59" w:rsidP="004C1A59">
      <w:pPr>
        <w:pStyle w:val="Bibliography"/>
      </w:pPr>
      <w:r>
        <w:t xml:space="preserve">[50] </w:t>
      </w:r>
      <w:r>
        <w:tab/>
      </w:r>
      <w:proofErr w:type="spellStart"/>
      <w:r>
        <w:t>Onufriev</w:t>
      </w:r>
      <w:proofErr w:type="spellEnd"/>
      <w:r>
        <w:t xml:space="preserve"> A, Bashford D, Case DA. Exploring protein native states and large‐scale conformational changes with a modified generalized born model. Proteins [Internet] </w:t>
      </w:r>
      <w:proofErr w:type="gramStart"/>
      <w:r>
        <w:t>2004;55:383</w:t>
      </w:r>
      <w:proofErr w:type="gramEnd"/>
      <w:r>
        <w:t>–94. doi:10.1002/prot.20033.</w:t>
      </w:r>
    </w:p>
    <w:p w14:paraId="625BB7E3" w14:textId="77777777" w:rsidR="004C1A59" w:rsidRDefault="004C1A59" w:rsidP="004C1A59">
      <w:pPr>
        <w:pStyle w:val="Bibliography"/>
      </w:pPr>
      <w:r>
        <w:t>[51</w:t>
      </w:r>
      <w:proofErr w:type="gramStart"/>
      <w:r>
        <w:t xml:space="preserve">] </w:t>
      </w:r>
      <w:r>
        <w:tab/>
        <w:t>Neese</w:t>
      </w:r>
      <w:proofErr w:type="gramEnd"/>
      <w:r>
        <w:t xml:space="preserve"> F. The ORCA program system. Vol. 2, WIRES </w:t>
      </w:r>
      <w:proofErr w:type="spellStart"/>
      <w:r>
        <w:t>Comput</w:t>
      </w:r>
      <w:proofErr w:type="spellEnd"/>
      <w:r>
        <w:t xml:space="preserve">. </w:t>
      </w:r>
      <w:proofErr w:type="spellStart"/>
      <w:r>
        <w:t>Molec</w:t>
      </w:r>
      <w:proofErr w:type="spellEnd"/>
      <w:r>
        <w:t>. Sci. 2012. p. 73–8. doi:10.1002/wcms.81.</w:t>
      </w:r>
    </w:p>
    <w:p w14:paraId="73AA59E7" w14:textId="77777777" w:rsidR="004C1A59" w:rsidRDefault="004C1A59" w:rsidP="004C1A59">
      <w:pPr>
        <w:pStyle w:val="Bibliography"/>
      </w:pPr>
      <w:r>
        <w:t>[52</w:t>
      </w:r>
      <w:proofErr w:type="gramStart"/>
      <w:r>
        <w:t xml:space="preserve">] </w:t>
      </w:r>
      <w:r>
        <w:tab/>
        <w:t>Becke</w:t>
      </w:r>
      <w:proofErr w:type="gramEnd"/>
      <w:r>
        <w:t xml:space="preserve"> AD. A new mixing of Hartree–Fock and local density-functional theories. The Journal of Chemical Physics [Internet] </w:t>
      </w:r>
      <w:proofErr w:type="gramStart"/>
      <w:r>
        <w:t>1993;98:1372</w:t>
      </w:r>
      <w:proofErr w:type="gramEnd"/>
      <w:r>
        <w:t>–7. doi:10.1063/1.464304.</w:t>
      </w:r>
    </w:p>
    <w:p w14:paraId="6947D5F9" w14:textId="77777777" w:rsidR="004C1A59" w:rsidRDefault="004C1A59" w:rsidP="004C1A59">
      <w:pPr>
        <w:pStyle w:val="Bibliography"/>
      </w:pPr>
      <w:r>
        <w:t xml:space="preserve">[53] </w:t>
      </w:r>
      <w:r>
        <w:tab/>
        <w:t xml:space="preserve">Lee C, Yang W, Parr RG. Development of the Colle-Salvetti correlation-energy formula into a functional of the electron density. Phys Rev B [Internet] </w:t>
      </w:r>
      <w:proofErr w:type="gramStart"/>
      <w:r>
        <w:t>1988;37:785</w:t>
      </w:r>
      <w:proofErr w:type="gramEnd"/>
      <w:r>
        <w:t>–9. doi:10.1103/PhysRevB.37.785.</w:t>
      </w:r>
    </w:p>
    <w:p w14:paraId="03E89065" w14:textId="77777777" w:rsidR="004C1A59" w:rsidRDefault="004C1A59" w:rsidP="004C1A59">
      <w:pPr>
        <w:pStyle w:val="Bibliography"/>
      </w:pPr>
      <w:r>
        <w:t>[54</w:t>
      </w:r>
      <w:proofErr w:type="gramStart"/>
      <w:r>
        <w:t xml:space="preserve">] </w:t>
      </w:r>
      <w:r>
        <w:tab/>
      </w:r>
      <w:proofErr w:type="spellStart"/>
      <w:r>
        <w:t>Weigend</w:t>
      </w:r>
      <w:proofErr w:type="spellEnd"/>
      <w:proofErr w:type="gramEnd"/>
      <w:r>
        <w:t xml:space="preserve"> F, Ahlrichs R. Balanced basis sets of split valence, triple zeta valence and quadruple zeta valence quality for H to Rn: Design and assessment of accuracy. Phys Chem </w:t>
      </w:r>
      <w:proofErr w:type="spellStart"/>
      <w:r>
        <w:t>Chem</w:t>
      </w:r>
      <w:proofErr w:type="spellEnd"/>
      <w:r>
        <w:t xml:space="preserve"> Phys [Internet] </w:t>
      </w:r>
      <w:proofErr w:type="gramStart"/>
      <w:r>
        <w:t>2005;7:3297</w:t>
      </w:r>
      <w:proofErr w:type="gramEnd"/>
      <w:r>
        <w:t>. doi:10.1039/b508541a.</w:t>
      </w:r>
    </w:p>
    <w:p w14:paraId="0BF82B7E" w14:textId="77777777" w:rsidR="004C1A59" w:rsidRDefault="004C1A59" w:rsidP="004C1A59">
      <w:pPr>
        <w:pStyle w:val="Bibliography"/>
      </w:pPr>
      <w:r>
        <w:t>[55</w:t>
      </w:r>
      <w:proofErr w:type="gramStart"/>
      <w:r>
        <w:t xml:space="preserve">] </w:t>
      </w:r>
      <w:r>
        <w:tab/>
        <w:t>Grimme</w:t>
      </w:r>
      <w:proofErr w:type="gramEnd"/>
      <w:r>
        <w:t xml:space="preserve"> S, Antony J, Ehrlich S, Krieg H. A consistent and accurate ab initio parametrization of density functional dispersion correction (DFT-D) for the 94 elements H-Pu. Vol. 132, J. Chem. Phys. 2010. p. 154104. doi:10.1063/1.3382344.</w:t>
      </w:r>
    </w:p>
    <w:p w14:paraId="4AA9281C" w14:textId="77777777" w:rsidR="004C1A59" w:rsidRDefault="004C1A59" w:rsidP="004C1A59">
      <w:pPr>
        <w:pStyle w:val="Bibliography"/>
      </w:pPr>
      <w:r>
        <w:t>[56</w:t>
      </w:r>
      <w:proofErr w:type="gramStart"/>
      <w:r>
        <w:t xml:space="preserve">] </w:t>
      </w:r>
      <w:r>
        <w:tab/>
        <w:t>Vijayan</w:t>
      </w:r>
      <w:proofErr w:type="gramEnd"/>
      <w:r>
        <w:t xml:space="preserve"> R, Sivakumar PM, Hazir S, Kumar AR, Raja RK. Phytochemical and Antioxidant Analysis of Bioactive Compound Extract from Nelumbo nucifera against Cancer Proteins: In Silico Spectroscopic Approach. Appl </w:t>
      </w:r>
      <w:proofErr w:type="spellStart"/>
      <w:r>
        <w:t>Biochem</w:t>
      </w:r>
      <w:proofErr w:type="spellEnd"/>
      <w:r>
        <w:t xml:space="preserve"> </w:t>
      </w:r>
      <w:proofErr w:type="spellStart"/>
      <w:r>
        <w:t>Biotechnol</w:t>
      </w:r>
      <w:proofErr w:type="spellEnd"/>
      <w:r>
        <w:t xml:space="preserve"> [Internet] </w:t>
      </w:r>
      <w:proofErr w:type="gramStart"/>
      <w:r>
        <w:t>2025;197:2639</w:t>
      </w:r>
      <w:proofErr w:type="gramEnd"/>
      <w:r>
        <w:t>–66. doi:10.1007/s12010-024-05167-z.</w:t>
      </w:r>
    </w:p>
    <w:p w14:paraId="5674A1DF" w14:textId="77777777" w:rsidR="004C1A59" w:rsidRDefault="004C1A59" w:rsidP="004C1A59">
      <w:pPr>
        <w:pStyle w:val="Bibliography"/>
      </w:pPr>
      <w:r>
        <w:t xml:space="preserve">[57] </w:t>
      </w:r>
      <w:r>
        <w:tab/>
        <w:t xml:space="preserve">Ram Kumar A, Selvaraj S, Vickram AS, Jenifer J, Karthik Raja R. Experimental and theoretical investigations on antiproliferative compound nootkatone’s vibrational characteristics, solvent effects of electronic properties, topological insights, Hirshfeld surface, donor-acceptor insights, ADME, and molecular docking against SMAD proteins. Journal of Molecular Structure [Internet] </w:t>
      </w:r>
      <w:proofErr w:type="gramStart"/>
      <w:r>
        <w:t>2025;1346:143156</w:t>
      </w:r>
      <w:proofErr w:type="gramEnd"/>
      <w:r>
        <w:t xml:space="preserve">. </w:t>
      </w:r>
      <w:proofErr w:type="gramStart"/>
      <w:r>
        <w:t>doi:10.1016/j.molstruc</w:t>
      </w:r>
      <w:proofErr w:type="gramEnd"/>
      <w:r>
        <w:t>.2025.143156.</w:t>
      </w:r>
    </w:p>
    <w:p w14:paraId="718B836D" w14:textId="76C28000" w:rsidR="008D2935" w:rsidRPr="007E5190" w:rsidRDefault="00900B7B" w:rsidP="00D75BEE">
      <w:pPr>
        <w:jc w:val="both"/>
        <w:rPr>
          <w:rFonts w:ascii="Times New Roman" w:hAnsi="Times New Roman" w:cs="Times New Roman"/>
          <w:color w:val="0D0D0D" w:themeColor="text1" w:themeTint="F2"/>
        </w:rPr>
      </w:pPr>
      <w:r w:rsidRPr="007E5190">
        <w:rPr>
          <w:rFonts w:ascii="Times New Roman" w:hAnsi="Times New Roman" w:cs="Times New Roman"/>
          <w:color w:val="0D0D0D" w:themeColor="text1" w:themeTint="F2"/>
        </w:rPr>
        <w:fldChar w:fldCharType="end"/>
      </w:r>
    </w:p>
    <w:sectPr w:rsidR="008D2935" w:rsidRPr="007E51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1128" w14:textId="77777777" w:rsidR="00644728" w:rsidRDefault="00644728" w:rsidP="00244780">
      <w:pPr>
        <w:spacing w:after="0" w:line="240" w:lineRule="auto"/>
      </w:pPr>
      <w:r>
        <w:separator/>
      </w:r>
    </w:p>
  </w:endnote>
  <w:endnote w:type="continuationSeparator" w:id="0">
    <w:p w14:paraId="0869FF80" w14:textId="77777777" w:rsidR="00644728" w:rsidRDefault="00644728" w:rsidP="00244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EEB5A" w14:textId="77777777" w:rsidR="00644728" w:rsidRDefault="00644728" w:rsidP="00244780">
      <w:pPr>
        <w:spacing w:after="0" w:line="240" w:lineRule="auto"/>
      </w:pPr>
      <w:r>
        <w:separator/>
      </w:r>
    </w:p>
  </w:footnote>
  <w:footnote w:type="continuationSeparator" w:id="0">
    <w:p w14:paraId="14C5C35E" w14:textId="77777777" w:rsidR="00644728" w:rsidRDefault="00644728" w:rsidP="00244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D568B"/>
    <w:multiLevelType w:val="multilevel"/>
    <w:tmpl w:val="A44C9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B5031"/>
    <w:multiLevelType w:val="multilevel"/>
    <w:tmpl w:val="4D8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B1C0F"/>
    <w:multiLevelType w:val="multilevel"/>
    <w:tmpl w:val="4486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572C1"/>
    <w:multiLevelType w:val="multilevel"/>
    <w:tmpl w:val="685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B54A5"/>
    <w:multiLevelType w:val="multilevel"/>
    <w:tmpl w:val="245E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70E9B"/>
    <w:multiLevelType w:val="multilevel"/>
    <w:tmpl w:val="E4A6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931458">
    <w:abstractNumId w:val="1"/>
  </w:num>
  <w:num w:numId="2" w16cid:durableId="1789928464">
    <w:abstractNumId w:val="2"/>
  </w:num>
  <w:num w:numId="3" w16cid:durableId="76219689">
    <w:abstractNumId w:val="0"/>
  </w:num>
  <w:num w:numId="4" w16cid:durableId="1450080668">
    <w:abstractNumId w:val="3"/>
  </w:num>
  <w:num w:numId="5" w16cid:durableId="921378318">
    <w:abstractNumId w:val="5"/>
  </w:num>
  <w:num w:numId="6" w16cid:durableId="417678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7BD"/>
    <w:rsid w:val="00003AEE"/>
    <w:rsid w:val="00010470"/>
    <w:rsid w:val="00014292"/>
    <w:rsid w:val="000207B8"/>
    <w:rsid w:val="00031159"/>
    <w:rsid w:val="00035B48"/>
    <w:rsid w:val="00052E61"/>
    <w:rsid w:val="0005642C"/>
    <w:rsid w:val="00063531"/>
    <w:rsid w:val="00066790"/>
    <w:rsid w:val="00073603"/>
    <w:rsid w:val="00075304"/>
    <w:rsid w:val="00082CED"/>
    <w:rsid w:val="0008707E"/>
    <w:rsid w:val="000876B2"/>
    <w:rsid w:val="0009559E"/>
    <w:rsid w:val="00097605"/>
    <w:rsid w:val="000A09AD"/>
    <w:rsid w:val="000B718B"/>
    <w:rsid w:val="000C145D"/>
    <w:rsid w:val="000C4F16"/>
    <w:rsid w:val="000C6F4A"/>
    <w:rsid w:val="000D3499"/>
    <w:rsid w:val="000E1143"/>
    <w:rsid w:val="000F79CE"/>
    <w:rsid w:val="00122147"/>
    <w:rsid w:val="00125261"/>
    <w:rsid w:val="00125571"/>
    <w:rsid w:val="00126B1B"/>
    <w:rsid w:val="001300C5"/>
    <w:rsid w:val="00133D9A"/>
    <w:rsid w:val="001368E1"/>
    <w:rsid w:val="001374EE"/>
    <w:rsid w:val="00142D13"/>
    <w:rsid w:val="0014319B"/>
    <w:rsid w:val="001452D0"/>
    <w:rsid w:val="00146BB4"/>
    <w:rsid w:val="00147ED3"/>
    <w:rsid w:val="001569E0"/>
    <w:rsid w:val="00157A3D"/>
    <w:rsid w:val="00164872"/>
    <w:rsid w:val="00167068"/>
    <w:rsid w:val="001749D9"/>
    <w:rsid w:val="00176EC5"/>
    <w:rsid w:val="00180428"/>
    <w:rsid w:val="00186D39"/>
    <w:rsid w:val="00191284"/>
    <w:rsid w:val="001913B5"/>
    <w:rsid w:val="001945CC"/>
    <w:rsid w:val="001A38A1"/>
    <w:rsid w:val="001B05F5"/>
    <w:rsid w:val="001B2252"/>
    <w:rsid w:val="001B7192"/>
    <w:rsid w:val="001C18AF"/>
    <w:rsid w:val="001D08CD"/>
    <w:rsid w:val="001D5DB2"/>
    <w:rsid w:val="001E0E35"/>
    <w:rsid w:val="001E0FB9"/>
    <w:rsid w:val="001E1719"/>
    <w:rsid w:val="001E6B30"/>
    <w:rsid w:val="001F60A9"/>
    <w:rsid w:val="00200D51"/>
    <w:rsid w:val="00204177"/>
    <w:rsid w:val="00204D7D"/>
    <w:rsid w:val="00207A99"/>
    <w:rsid w:val="00210E89"/>
    <w:rsid w:val="002173C0"/>
    <w:rsid w:val="0021770B"/>
    <w:rsid w:val="00217E87"/>
    <w:rsid w:val="002218FF"/>
    <w:rsid w:val="002242B6"/>
    <w:rsid w:val="00227EE6"/>
    <w:rsid w:val="00231673"/>
    <w:rsid w:val="0023186D"/>
    <w:rsid w:val="00241D53"/>
    <w:rsid w:val="00243A98"/>
    <w:rsid w:val="00244780"/>
    <w:rsid w:val="00253795"/>
    <w:rsid w:val="00254C51"/>
    <w:rsid w:val="00256A8B"/>
    <w:rsid w:val="0026278D"/>
    <w:rsid w:val="002727A4"/>
    <w:rsid w:val="00273FF2"/>
    <w:rsid w:val="002740A0"/>
    <w:rsid w:val="00276C47"/>
    <w:rsid w:val="00282D65"/>
    <w:rsid w:val="002876C2"/>
    <w:rsid w:val="00290A1F"/>
    <w:rsid w:val="002933EF"/>
    <w:rsid w:val="00293E85"/>
    <w:rsid w:val="002A7629"/>
    <w:rsid w:val="002A764C"/>
    <w:rsid w:val="002B0EAD"/>
    <w:rsid w:val="002C728D"/>
    <w:rsid w:val="002D0641"/>
    <w:rsid w:val="002D623D"/>
    <w:rsid w:val="002D7A8F"/>
    <w:rsid w:val="002E56DD"/>
    <w:rsid w:val="002F34DA"/>
    <w:rsid w:val="002F66F3"/>
    <w:rsid w:val="00302A46"/>
    <w:rsid w:val="003032EE"/>
    <w:rsid w:val="00307B6A"/>
    <w:rsid w:val="003107A6"/>
    <w:rsid w:val="003140F3"/>
    <w:rsid w:val="00315E44"/>
    <w:rsid w:val="00317D12"/>
    <w:rsid w:val="00332F2F"/>
    <w:rsid w:val="00353786"/>
    <w:rsid w:val="00372860"/>
    <w:rsid w:val="00374B74"/>
    <w:rsid w:val="0037696C"/>
    <w:rsid w:val="00381E9F"/>
    <w:rsid w:val="003866EE"/>
    <w:rsid w:val="00391726"/>
    <w:rsid w:val="003A108B"/>
    <w:rsid w:val="003A475E"/>
    <w:rsid w:val="003B1A59"/>
    <w:rsid w:val="003B21DD"/>
    <w:rsid w:val="003B2345"/>
    <w:rsid w:val="003B2D59"/>
    <w:rsid w:val="003C2F7A"/>
    <w:rsid w:val="003F3DD9"/>
    <w:rsid w:val="003F5894"/>
    <w:rsid w:val="0041728C"/>
    <w:rsid w:val="004174A9"/>
    <w:rsid w:val="004251A9"/>
    <w:rsid w:val="00426CDD"/>
    <w:rsid w:val="00444D45"/>
    <w:rsid w:val="00451CA8"/>
    <w:rsid w:val="004544B5"/>
    <w:rsid w:val="00455DB1"/>
    <w:rsid w:val="00457D8C"/>
    <w:rsid w:val="00465720"/>
    <w:rsid w:val="004731CA"/>
    <w:rsid w:val="004746DE"/>
    <w:rsid w:val="004753A7"/>
    <w:rsid w:val="00486F63"/>
    <w:rsid w:val="0049343B"/>
    <w:rsid w:val="004A141A"/>
    <w:rsid w:val="004A1933"/>
    <w:rsid w:val="004A28A3"/>
    <w:rsid w:val="004A3588"/>
    <w:rsid w:val="004B5636"/>
    <w:rsid w:val="004C1A59"/>
    <w:rsid w:val="004C7DBA"/>
    <w:rsid w:val="004D1901"/>
    <w:rsid w:val="004D1DA8"/>
    <w:rsid w:val="004D387C"/>
    <w:rsid w:val="004D5F3F"/>
    <w:rsid w:val="004D630E"/>
    <w:rsid w:val="004D790C"/>
    <w:rsid w:val="004E3D6C"/>
    <w:rsid w:val="004E40E2"/>
    <w:rsid w:val="004E6B8D"/>
    <w:rsid w:val="004E75E5"/>
    <w:rsid w:val="004F06D9"/>
    <w:rsid w:val="004F5CC4"/>
    <w:rsid w:val="00504549"/>
    <w:rsid w:val="00505211"/>
    <w:rsid w:val="0050578B"/>
    <w:rsid w:val="00505860"/>
    <w:rsid w:val="00510027"/>
    <w:rsid w:val="005170D3"/>
    <w:rsid w:val="00534051"/>
    <w:rsid w:val="00540315"/>
    <w:rsid w:val="0054103E"/>
    <w:rsid w:val="005421EB"/>
    <w:rsid w:val="00551795"/>
    <w:rsid w:val="00551EBD"/>
    <w:rsid w:val="005602EA"/>
    <w:rsid w:val="00561C5A"/>
    <w:rsid w:val="00563BDB"/>
    <w:rsid w:val="00564282"/>
    <w:rsid w:val="00565803"/>
    <w:rsid w:val="00576676"/>
    <w:rsid w:val="00582EC1"/>
    <w:rsid w:val="005839DC"/>
    <w:rsid w:val="00591310"/>
    <w:rsid w:val="00591430"/>
    <w:rsid w:val="005919E3"/>
    <w:rsid w:val="00592952"/>
    <w:rsid w:val="005949A6"/>
    <w:rsid w:val="005A5399"/>
    <w:rsid w:val="005B0778"/>
    <w:rsid w:val="005B1F7A"/>
    <w:rsid w:val="005B3300"/>
    <w:rsid w:val="005B5805"/>
    <w:rsid w:val="005B5C58"/>
    <w:rsid w:val="005C0662"/>
    <w:rsid w:val="005C36F6"/>
    <w:rsid w:val="005C56B9"/>
    <w:rsid w:val="005C5D5E"/>
    <w:rsid w:val="005C661E"/>
    <w:rsid w:val="005D0C61"/>
    <w:rsid w:val="005D2C2F"/>
    <w:rsid w:val="005D3BF4"/>
    <w:rsid w:val="005D5C31"/>
    <w:rsid w:val="005D5D6F"/>
    <w:rsid w:val="005E631E"/>
    <w:rsid w:val="005E791D"/>
    <w:rsid w:val="005F2D70"/>
    <w:rsid w:val="005F57C8"/>
    <w:rsid w:val="00602DEF"/>
    <w:rsid w:val="00604F8C"/>
    <w:rsid w:val="0061344C"/>
    <w:rsid w:val="006207E9"/>
    <w:rsid w:val="0063108E"/>
    <w:rsid w:val="00635559"/>
    <w:rsid w:val="00641076"/>
    <w:rsid w:val="00641236"/>
    <w:rsid w:val="00644728"/>
    <w:rsid w:val="0065564A"/>
    <w:rsid w:val="00655737"/>
    <w:rsid w:val="00655CEB"/>
    <w:rsid w:val="00664CDB"/>
    <w:rsid w:val="00670FEF"/>
    <w:rsid w:val="00677234"/>
    <w:rsid w:val="006816D1"/>
    <w:rsid w:val="006934F8"/>
    <w:rsid w:val="0069365B"/>
    <w:rsid w:val="006964E2"/>
    <w:rsid w:val="006A2A96"/>
    <w:rsid w:val="006A4A39"/>
    <w:rsid w:val="006B7059"/>
    <w:rsid w:val="006C0FE8"/>
    <w:rsid w:val="006C5AAB"/>
    <w:rsid w:val="006D072F"/>
    <w:rsid w:val="006D26D5"/>
    <w:rsid w:val="006D3705"/>
    <w:rsid w:val="006D6393"/>
    <w:rsid w:val="006D77C5"/>
    <w:rsid w:val="006E4F3E"/>
    <w:rsid w:val="006E58C0"/>
    <w:rsid w:val="006F48C0"/>
    <w:rsid w:val="0070049F"/>
    <w:rsid w:val="00702BD9"/>
    <w:rsid w:val="0071060A"/>
    <w:rsid w:val="00715294"/>
    <w:rsid w:val="00716DB8"/>
    <w:rsid w:val="00716E03"/>
    <w:rsid w:val="00725EFB"/>
    <w:rsid w:val="0072730E"/>
    <w:rsid w:val="0073156B"/>
    <w:rsid w:val="00732911"/>
    <w:rsid w:val="007414B4"/>
    <w:rsid w:val="00743D68"/>
    <w:rsid w:val="007471BB"/>
    <w:rsid w:val="00760776"/>
    <w:rsid w:val="0076423A"/>
    <w:rsid w:val="00764E93"/>
    <w:rsid w:val="007706F9"/>
    <w:rsid w:val="007744E6"/>
    <w:rsid w:val="00776158"/>
    <w:rsid w:val="00776983"/>
    <w:rsid w:val="007779DA"/>
    <w:rsid w:val="00781C24"/>
    <w:rsid w:val="00782EA8"/>
    <w:rsid w:val="00782EFF"/>
    <w:rsid w:val="0078448F"/>
    <w:rsid w:val="007859D7"/>
    <w:rsid w:val="007902A8"/>
    <w:rsid w:val="00794D96"/>
    <w:rsid w:val="007A1182"/>
    <w:rsid w:val="007A12BF"/>
    <w:rsid w:val="007A39A6"/>
    <w:rsid w:val="007A4488"/>
    <w:rsid w:val="007A5B2A"/>
    <w:rsid w:val="007B0761"/>
    <w:rsid w:val="007B2173"/>
    <w:rsid w:val="007B67A9"/>
    <w:rsid w:val="007B72A7"/>
    <w:rsid w:val="007C0709"/>
    <w:rsid w:val="007C2F1B"/>
    <w:rsid w:val="007C33A3"/>
    <w:rsid w:val="007D0590"/>
    <w:rsid w:val="007D2218"/>
    <w:rsid w:val="007D2266"/>
    <w:rsid w:val="007D4D40"/>
    <w:rsid w:val="007D70E2"/>
    <w:rsid w:val="007E1661"/>
    <w:rsid w:val="007E5190"/>
    <w:rsid w:val="007E6399"/>
    <w:rsid w:val="007F10AE"/>
    <w:rsid w:val="007F194D"/>
    <w:rsid w:val="007F28BC"/>
    <w:rsid w:val="007F38AC"/>
    <w:rsid w:val="0080736A"/>
    <w:rsid w:val="008120F0"/>
    <w:rsid w:val="00812795"/>
    <w:rsid w:val="008219B5"/>
    <w:rsid w:val="00826487"/>
    <w:rsid w:val="00833AAA"/>
    <w:rsid w:val="008420C4"/>
    <w:rsid w:val="00843580"/>
    <w:rsid w:val="008462AF"/>
    <w:rsid w:val="00854A5B"/>
    <w:rsid w:val="00856FB6"/>
    <w:rsid w:val="00863E1B"/>
    <w:rsid w:val="00880A96"/>
    <w:rsid w:val="00884FB0"/>
    <w:rsid w:val="008874CB"/>
    <w:rsid w:val="008A0CF5"/>
    <w:rsid w:val="008B0889"/>
    <w:rsid w:val="008B0FDA"/>
    <w:rsid w:val="008B11C2"/>
    <w:rsid w:val="008B4F7E"/>
    <w:rsid w:val="008B75ED"/>
    <w:rsid w:val="008C3A5F"/>
    <w:rsid w:val="008C443B"/>
    <w:rsid w:val="008C4B9F"/>
    <w:rsid w:val="008D2935"/>
    <w:rsid w:val="008D335A"/>
    <w:rsid w:val="008D38EC"/>
    <w:rsid w:val="008D520F"/>
    <w:rsid w:val="008F3D91"/>
    <w:rsid w:val="008F48D6"/>
    <w:rsid w:val="008F6415"/>
    <w:rsid w:val="00900B7B"/>
    <w:rsid w:val="00906FB5"/>
    <w:rsid w:val="00910EC8"/>
    <w:rsid w:val="009157B4"/>
    <w:rsid w:val="00915B96"/>
    <w:rsid w:val="00915F35"/>
    <w:rsid w:val="00917184"/>
    <w:rsid w:val="00917BCF"/>
    <w:rsid w:val="00922AD7"/>
    <w:rsid w:val="009270E7"/>
    <w:rsid w:val="00932C74"/>
    <w:rsid w:val="00942478"/>
    <w:rsid w:val="0094623B"/>
    <w:rsid w:val="00953E08"/>
    <w:rsid w:val="009564F3"/>
    <w:rsid w:val="00957831"/>
    <w:rsid w:val="009603C8"/>
    <w:rsid w:val="00973766"/>
    <w:rsid w:val="009740BD"/>
    <w:rsid w:val="00974C00"/>
    <w:rsid w:val="0097765D"/>
    <w:rsid w:val="00981131"/>
    <w:rsid w:val="0098492A"/>
    <w:rsid w:val="00987696"/>
    <w:rsid w:val="009A2946"/>
    <w:rsid w:val="009A7CF3"/>
    <w:rsid w:val="009C0396"/>
    <w:rsid w:val="009C1FBB"/>
    <w:rsid w:val="009C51BD"/>
    <w:rsid w:val="009E148E"/>
    <w:rsid w:val="009E3A88"/>
    <w:rsid w:val="009E41DE"/>
    <w:rsid w:val="009E5AA2"/>
    <w:rsid w:val="009F0335"/>
    <w:rsid w:val="00A01CBC"/>
    <w:rsid w:val="00A02243"/>
    <w:rsid w:val="00A02516"/>
    <w:rsid w:val="00A06031"/>
    <w:rsid w:val="00A12CF1"/>
    <w:rsid w:val="00A17CC8"/>
    <w:rsid w:val="00A23603"/>
    <w:rsid w:val="00A25405"/>
    <w:rsid w:val="00A27974"/>
    <w:rsid w:val="00A30F28"/>
    <w:rsid w:val="00A31BD0"/>
    <w:rsid w:val="00A33302"/>
    <w:rsid w:val="00A345D3"/>
    <w:rsid w:val="00A34FCB"/>
    <w:rsid w:val="00A3538A"/>
    <w:rsid w:val="00A37E32"/>
    <w:rsid w:val="00A43CE9"/>
    <w:rsid w:val="00A464DB"/>
    <w:rsid w:val="00A50DB7"/>
    <w:rsid w:val="00A5326A"/>
    <w:rsid w:val="00A535A6"/>
    <w:rsid w:val="00A64045"/>
    <w:rsid w:val="00A744B7"/>
    <w:rsid w:val="00A84024"/>
    <w:rsid w:val="00A86AF9"/>
    <w:rsid w:val="00A900AC"/>
    <w:rsid w:val="00A91765"/>
    <w:rsid w:val="00A940AF"/>
    <w:rsid w:val="00A96D4B"/>
    <w:rsid w:val="00AA4E11"/>
    <w:rsid w:val="00AA5802"/>
    <w:rsid w:val="00AB4B8E"/>
    <w:rsid w:val="00AC7A67"/>
    <w:rsid w:val="00AD181A"/>
    <w:rsid w:val="00AD7129"/>
    <w:rsid w:val="00AE024A"/>
    <w:rsid w:val="00AE14C7"/>
    <w:rsid w:val="00AE4F0D"/>
    <w:rsid w:val="00AE559E"/>
    <w:rsid w:val="00AE6D72"/>
    <w:rsid w:val="00AF43B2"/>
    <w:rsid w:val="00AF4FE1"/>
    <w:rsid w:val="00B03C0B"/>
    <w:rsid w:val="00B07E82"/>
    <w:rsid w:val="00B11033"/>
    <w:rsid w:val="00B21CB0"/>
    <w:rsid w:val="00B21E40"/>
    <w:rsid w:val="00B23AF3"/>
    <w:rsid w:val="00B2433B"/>
    <w:rsid w:val="00B26F05"/>
    <w:rsid w:val="00B277B6"/>
    <w:rsid w:val="00B52480"/>
    <w:rsid w:val="00B565EC"/>
    <w:rsid w:val="00B57667"/>
    <w:rsid w:val="00B64295"/>
    <w:rsid w:val="00B80E46"/>
    <w:rsid w:val="00B81388"/>
    <w:rsid w:val="00B8691E"/>
    <w:rsid w:val="00B91C92"/>
    <w:rsid w:val="00B96FC5"/>
    <w:rsid w:val="00B977DA"/>
    <w:rsid w:val="00BA5B1D"/>
    <w:rsid w:val="00BA72A1"/>
    <w:rsid w:val="00BA77EB"/>
    <w:rsid w:val="00BB33ED"/>
    <w:rsid w:val="00BB6776"/>
    <w:rsid w:val="00BC5D1F"/>
    <w:rsid w:val="00BC5DA6"/>
    <w:rsid w:val="00BC7B16"/>
    <w:rsid w:val="00BD0DEC"/>
    <w:rsid w:val="00BD4226"/>
    <w:rsid w:val="00BD4A2A"/>
    <w:rsid w:val="00BE3D25"/>
    <w:rsid w:val="00BE5274"/>
    <w:rsid w:val="00BE7CFD"/>
    <w:rsid w:val="00BF4BA6"/>
    <w:rsid w:val="00C07BD6"/>
    <w:rsid w:val="00C13FDE"/>
    <w:rsid w:val="00C17374"/>
    <w:rsid w:val="00C22EF3"/>
    <w:rsid w:val="00C25AD2"/>
    <w:rsid w:val="00C3235C"/>
    <w:rsid w:val="00C329B9"/>
    <w:rsid w:val="00C34455"/>
    <w:rsid w:val="00C35B92"/>
    <w:rsid w:val="00C36630"/>
    <w:rsid w:val="00C457C3"/>
    <w:rsid w:val="00C46E2F"/>
    <w:rsid w:val="00C56F64"/>
    <w:rsid w:val="00C62EC3"/>
    <w:rsid w:val="00C63DE5"/>
    <w:rsid w:val="00C64A5B"/>
    <w:rsid w:val="00C64FAF"/>
    <w:rsid w:val="00C65D35"/>
    <w:rsid w:val="00C663E9"/>
    <w:rsid w:val="00C72AE6"/>
    <w:rsid w:val="00C74BB4"/>
    <w:rsid w:val="00C76F66"/>
    <w:rsid w:val="00C839B2"/>
    <w:rsid w:val="00C8644D"/>
    <w:rsid w:val="00C91B76"/>
    <w:rsid w:val="00C937DF"/>
    <w:rsid w:val="00C97A14"/>
    <w:rsid w:val="00CA0522"/>
    <w:rsid w:val="00CA2F80"/>
    <w:rsid w:val="00CA44E9"/>
    <w:rsid w:val="00CC2B9D"/>
    <w:rsid w:val="00CD08D3"/>
    <w:rsid w:val="00CE2F2E"/>
    <w:rsid w:val="00CE3B71"/>
    <w:rsid w:val="00D02B9F"/>
    <w:rsid w:val="00D03A6A"/>
    <w:rsid w:val="00D03BD4"/>
    <w:rsid w:val="00D0485C"/>
    <w:rsid w:val="00D04E8D"/>
    <w:rsid w:val="00D15242"/>
    <w:rsid w:val="00D15C4D"/>
    <w:rsid w:val="00D21CD2"/>
    <w:rsid w:val="00D24FF3"/>
    <w:rsid w:val="00D336B2"/>
    <w:rsid w:val="00D34735"/>
    <w:rsid w:val="00D42FF0"/>
    <w:rsid w:val="00D43835"/>
    <w:rsid w:val="00D46243"/>
    <w:rsid w:val="00D5194B"/>
    <w:rsid w:val="00D53A6C"/>
    <w:rsid w:val="00D53C3D"/>
    <w:rsid w:val="00D57352"/>
    <w:rsid w:val="00D6294B"/>
    <w:rsid w:val="00D64081"/>
    <w:rsid w:val="00D64A8F"/>
    <w:rsid w:val="00D65313"/>
    <w:rsid w:val="00D706D8"/>
    <w:rsid w:val="00D73416"/>
    <w:rsid w:val="00D75BEE"/>
    <w:rsid w:val="00D770FB"/>
    <w:rsid w:val="00D80393"/>
    <w:rsid w:val="00D824E9"/>
    <w:rsid w:val="00D86F54"/>
    <w:rsid w:val="00D87526"/>
    <w:rsid w:val="00D87604"/>
    <w:rsid w:val="00D948C3"/>
    <w:rsid w:val="00DA4108"/>
    <w:rsid w:val="00DB6AAB"/>
    <w:rsid w:val="00DC26A3"/>
    <w:rsid w:val="00DC604C"/>
    <w:rsid w:val="00DC784E"/>
    <w:rsid w:val="00DD007E"/>
    <w:rsid w:val="00DD06FA"/>
    <w:rsid w:val="00DE02D0"/>
    <w:rsid w:val="00DF51AB"/>
    <w:rsid w:val="00DF75E6"/>
    <w:rsid w:val="00E00703"/>
    <w:rsid w:val="00E03627"/>
    <w:rsid w:val="00E03C88"/>
    <w:rsid w:val="00E07264"/>
    <w:rsid w:val="00E14870"/>
    <w:rsid w:val="00E16AF0"/>
    <w:rsid w:val="00E23ACF"/>
    <w:rsid w:val="00E46ABB"/>
    <w:rsid w:val="00E54CD9"/>
    <w:rsid w:val="00E60254"/>
    <w:rsid w:val="00E63824"/>
    <w:rsid w:val="00E70B19"/>
    <w:rsid w:val="00E716E1"/>
    <w:rsid w:val="00E71F44"/>
    <w:rsid w:val="00E74263"/>
    <w:rsid w:val="00E76C1F"/>
    <w:rsid w:val="00E86E62"/>
    <w:rsid w:val="00E907C9"/>
    <w:rsid w:val="00E90FA0"/>
    <w:rsid w:val="00EA025E"/>
    <w:rsid w:val="00EB2EF4"/>
    <w:rsid w:val="00EC2A0E"/>
    <w:rsid w:val="00EC7230"/>
    <w:rsid w:val="00EC7792"/>
    <w:rsid w:val="00ED393E"/>
    <w:rsid w:val="00ED4744"/>
    <w:rsid w:val="00EE436C"/>
    <w:rsid w:val="00EE4F15"/>
    <w:rsid w:val="00EE5B31"/>
    <w:rsid w:val="00EF288A"/>
    <w:rsid w:val="00EF3B1A"/>
    <w:rsid w:val="00EF7F63"/>
    <w:rsid w:val="00F02203"/>
    <w:rsid w:val="00F12626"/>
    <w:rsid w:val="00F1356B"/>
    <w:rsid w:val="00F21C9F"/>
    <w:rsid w:val="00F22FC4"/>
    <w:rsid w:val="00F25C91"/>
    <w:rsid w:val="00F307BD"/>
    <w:rsid w:val="00F40FB9"/>
    <w:rsid w:val="00F44AB2"/>
    <w:rsid w:val="00F56E48"/>
    <w:rsid w:val="00F57CE6"/>
    <w:rsid w:val="00F62A5D"/>
    <w:rsid w:val="00F64AEC"/>
    <w:rsid w:val="00F675E6"/>
    <w:rsid w:val="00F70FBE"/>
    <w:rsid w:val="00F81AB3"/>
    <w:rsid w:val="00F84DFD"/>
    <w:rsid w:val="00FA0BD9"/>
    <w:rsid w:val="00FA174F"/>
    <w:rsid w:val="00FA3701"/>
    <w:rsid w:val="00FB2CD7"/>
    <w:rsid w:val="00FB3172"/>
    <w:rsid w:val="00FB6A52"/>
    <w:rsid w:val="00FC15A9"/>
    <w:rsid w:val="00FC2F7F"/>
    <w:rsid w:val="00FC383D"/>
    <w:rsid w:val="00FC39FC"/>
    <w:rsid w:val="00FD4903"/>
    <w:rsid w:val="00FD5F77"/>
    <w:rsid w:val="00FD63C3"/>
    <w:rsid w:val="00FD79DC"/>
    <w:rsid w:val="00FE76F1"/>
    <w:rsid w:val="00FF347F"/>
    <w:rsid w:val="00FF6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5A43"/>
  <w15:chartTrackingRefBased/>
  <w15:docId w15:val="{07D73EBC-C8C6-4D08-8E94-19363529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F5"/>
  </w:style>
  <w:style w:type="paragraph" w:styleId="Heading1">
    <w:name w:val="heading 1"/>
    <w:basedOn w:val="Normal"/>
    <w:next w:val="Normal"/>
    <w:link w:val="Heading1Char"/>
    <w:uiPriority w:val="9"/>
    <w:qFormat/>
    <w:rsid w:val="00DD06FA"/>
    <w:pPr>
      <w:keepNext/>
      <w:keepLines/>
      <w:spacing w:before="360" w:after="80" w:line="360" w:lineRule="auto"/>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DD06FA"/>
    <w:pPr>
      <w:keepNext/>
      <w:keepLines/>
      <w:spacing w:before="160" w:after="80"/>
      <w:outlineLvl w:val="1"/>
    </w:pPr>
    <w:rPr>
      <w:rFonts w:ascii="Times New Roman" w:eastAsiaTheme="majorEastAsia" w:hAnsi="Times New Roman" w:cstheme="majorBidi"/>
      <w:i/>
      <w:szCs w:val="32"/>
    </w:rPr>
  </w:style>
  <w:style w:type="paragraph" w:styleId="Heading3">
    <w:name w:val="heading 3"/>
    <w:basedOn w:val="Normal"/>
    <w:next w:val="Normal"/>
    <w:link w:val="Heading3Char"/>
    <w:uiPriority w:val="9"/>
    <w:semiHidden/>
    <w:unhideWhenUsed/>
    <w:qFormat/>
    <w:rsid w:val="00F307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7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7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6FA"/>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6FA"/>
    <w:rPr>
      <w:rFonts w:ascii="Times New Roman" w:eastAsiaTheme="majorEastAsia" w:hAnsi="Times New Roman" w:cstheme="majorBidi"/>
      <w:i/>
      <w:szCs w:val="32"/>
    </w:rPr>
  </w:style>
  <w:style w:type="character" w:customStyle="1" w:styleId="Heading3Char">
    <w:name w:val="Heading 3 Char"/>
    <w:basedOn w:val="DefaultParagraphFont"/>
    <w:link w:val="Heading3"/>
    <w:uiPriority w:val="9"/>
    <w:semiHidden/>
    <w:rsid w:val="00F307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7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7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7BD"/>
    <w:rPr>
      <w:rFonts w:eastAsiaTheme="majorEastAsia" w:cstheme="majorBidi"/>
      <w:color w:val="272727" w:themeColor="text1" w:themeTint="D8"/>
    </w:rPr>
  </w:style>
  <w:style w:type="paragraph" w:styleId="Title">
    <w:name w:val="Title"/>
    <w:basedOn w:val="Normal"/>
    <w:next w:val="Normal"/>
    <w:link w:val="TitleChar"/>
    <w:uiPriority w:val="10"/>
    <w:qFormat/>
    <w:rsid w:val="00F30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7BD"/>
    <w:pPr>
      <w:spacing w:before="160"/>
      <w:jc w:val="center"/>
    </w:pPr>
    <w:rPr>
      <w:i/>
      <w:iCs/>
      <w:color w:val="404040" w:themeColor="text1" w:themeTint="BF"/>
    </w:rPr>
  </w:style>
  <w:style w:type="character" w:customStyle="1" w:styleId="QuoteChar">
    <w:name w:val="Quote Char"/>
    <w:basedOn w:val="DefaultParagraphFont"/>
    <w:link w:val="Quote"/>
    <w:uiPriority w:val="29"/>
    <w:rsid w:val="00F307BD"/>
    <w:rPr>
      <w:i/>
      <w:iCs/>
      <w:color w:val="404040" w:themeColor="text1" w:themeTint="BF"/>
    </w:rPr>
  </w:style>
  <w:style w:type="paragraph" w:styleId="ListParagraph">
    <w:name w:val="List Paragraph"/>
    <w:basedOn w:val="Normal"/>
    <w:uiPriority w:val="34"/>
    <w:qFormat/>
    <w:rsid w:val="00F307BD"/>
    <w:pPr>
      <w:ind w:left="720"/>
      <w:contextualSpacing/>
    </w:pPr>
  </w:style>
  <w:style w:type="character" w:styleId="IntenseEmphasis">
    <w:name w:val="Intense Emphasis"/>
    <w:basedOn w:val="DefaultParagraphFont"/>
    <w:uiPriority w:val="21"/>
    <w:qFormat/>
    <w:rsid w:val="00F307BD"/>
    <w:rPr>
      <w:i/>
      <w:iCs/>
      <w:color w:val="2F5496" w:themeColor="accent1" w:themeShade="BF"/>
    </w:rPr>
  </w:style>
  <w:style w:type="paragraph" w:styleId="IntenseQuote">
    <w:name w:val="Intense Quote"/>
    <w:basedOn w:val="Normal"/>
    <w:next w:val="Normal"/>
    <w:link w:val="IntenseQuoteChar"/>
    <w:uiPriority w:val="30"/>
    <w:qFormat/>
    <w:rsid w:val="00F307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7BD"/>
    <w:rPr>
      <w:i/>
      <w:iCs/>
      <w:color w:val="2F5496" w:themeColor="accent1" w:themeShade="BF"/>
    </w:rPr>
  </w:style>
  <w:style w:type="character" w:styleId="IntenseReference">
    <w:name w:val="Intense Reference"/>
    <w:basedOn w:val="DefaultParagraphFont"/>
    <w:uiPriority w:val="32"/>
    <w:qFormat/>
    <w:rsid w:val="00F307BD"/>
    <w:rPr>
      <w:b/>
      <w:bCs/>
      <w:smallCaps/>
      <w:color w:val="2F5496" w:themeColor="accent1" w:themeShade="BF"/>
      <w:spacing w:val="5"/>
    </w:rPr>
  </w:style>
  <w:style w:type="character" w:styleId="Hyperlink">
    <w:name w:val="Hyperlink"/>
    <w:basedOn w:val="DefaultParagraphFont"/>
    <w:uiPriority w:val="99"/>
    <w:unhideWhenUsed/>
    <w:rsid w:val="00E716E1"/>
    <w:rPr>
      <w:color w:val="0563C1" w:themeColor="hyperlink"/>
      <w:u w:val="single"/>
    </w:rPr>
  </w:style>
  <w:style w:type="paragraph" w:styleId="Bibliography">
    <w:name w:val="Bibliography"/>
    <w:basedOn w:val="Normal"/>
    <w:next w:val="Normal"/>
    <w:uiPriority w:val="37"/>
    <w:unhideWhenUsed/>
    <w:rsid w:val="004E75E5"/>
    <w:pPr>
      <w:tabs>
        <w:tab w:val="left" w:pos="504"/>
      </w:tabs>
      <w:spacing w:after="240" w:line="240" w:lineRule="auto"/>
      <w:ind w:left="504" w:hanging="504"/>
    </w:pPr>
  </w:style>
  <w:style w:type="paragraph" w:styleId="Header">
    <w:name w:val="header"/>
    <w:basedOn w:val="Normal"/>
    <w:link w:val="HeaderChar"/>
    <w:uiPriority w:val="99"/>
    <w:unhideWhenUsed/>
    <w:rsid w:val="002447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780"/>
  </w:style>
  <w:style w:type="paragraph" w:styleId="Footer">
    <w:name w:val="footer"/>
    <w:basedOn w:val="Normal"/>
    <w:link w:val="FooterChar"/>
    <w:uiPriority w:val="99"/>
    <w:unhideWhenUsed/>
    <w:rsid w:val="002447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780"/>
  </w:style>
  <w:style w:type="character" w:styleId="PlaceholderText">
    <w:name w:val="Placeholder Text"/>
    <w:basedOn w:val="DefaultParagraphFont"/>
    <w:uiPriority w:val="99"/>
    <w:semiHidden/>
    <w:rsid w:val="00204177"/>
    <w:rPr>
      <w:color w:val="666666"/>
    </w:rPr>
  </w:style>
  <w:style w:type="table" w:styleId="TableGrid">
    <w:name w:val="Table Grid"/>
    <w:basedOn w:val="TableNormal"/>
    <w:uiPriority w:val="39"/>
    <w:rsid w:val="002242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E5AA2"/>
    <w:pPr>
      <w:spacing w:after="200" w:line="240" w:lineRule="auto"/>
      <w:jc w:val="center"/>
    </w:pPr>
    <w:rPr>
      <w:b/>
      <w:iCs/>
      <w:sz w:val="22"/>
      <w:szCs w:val="18"/>
    </w:rPr>
  </w:style>
  <w:style w:type="table" w:styleId="PlainTable2">
    <w:name w:val="Plain Table 2"/>
    <w:basedOn w:val="TableNormal"/>
    <w:uiPriority w:val="42"/>
    <w:rsid w:val="00D640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A02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per-tirle">
    <w:name w:val="Paper -tirle"/>
    <w:basedOn w:val="Normal"/>
    <w:link w:val="Paper-tirleChar"/>
    <w:qFormat/>
    <w:rsid w:val="00C64FAF"/>
    <w:pPr>
      <w:pBdr>
        <w:bottom w:val="single" w:sz="4" w:space="1" w:color="auto"/>
      </w:pBdr>
      <w:spacing w:after="240" w:line="240" w:lineRule="auto"/>
    </w:pPr>
    <w:rPr>
      <w:rFonts w:ascii="Times New Roman" w:hAnsi="Times New Roman" w:cs="Times New Roman"/>
      <w:b/>
      <w:bCs/>
      <w:sz w:val="36"/>
      <w:szCs w:val="36"/>
    </w:rPr>
  </w:style>
  <w:style w:type="character" w:customStyle="1" w:styleId="Paper-tirleChar">
    <w:name w:val="Paper -tirle Char"/>
    <w:basedOn w:val="DefaultParagraphFont"/>
    <w:link w:val="Paper-tirle"/>
    <w:rsid w:val="00C64FAF"/>
    <w:rPr>
      <w:rFonts w:ascii="Times New Roman" w:hAnsi="Times New Roman" w:cs="Times New Roman"/>
      <w:b/>
      <w:bCs/>
      <w:sz w:val="36"/>
      <w:szCs w:val="36"/>
    </w:rPr>
  </w:style>
  <w:style w:type="paragraph" w:customStyle="1" w:styleId="Paper-author">
    <w:name w:val="Paper- author"/>
    <w:basedOn w:val="Normal"/>
    <w:link w:val="Paper-authorChar"/>
    <w:qFormat/>
    <w:rsid w:val="00C64FAF"/>
    <w:pPr>
      <w:pBdr>
        <w:bottom w:val="single" w:sz="4" w:space="1" w:color="auto"/>
      </w:pBdr>
      <w:spacing w:after="180" w:line="276" w:lineRule="auto"/>
    </w:pPr>
    <w:rPr>
      <w:rFonts w:ascii="Times New Roman" w:hAnsi="Times New Roman" w:cs="Times New Roman"/>
      <w:i/>
      <w:lang w:val="sv-SE"/>
    </w:rPr>
  </w:style>
  <w:style w:type="character" w:customStyle="1" w:styleId="Paper-authorChar">
    <w:name w:val="Paper- author Char"/>
    <w:basedOn w:val="DefaultParagraphFont"/>
    <w:link w:val="Paper-author"/>
    <w:rsid w:val="00C64FAF"/>
    <w:rPr>
      <w:rFonts w:ascii="Times New Roman" w:hAnsi="Times New Roman" w:cs="Times New Roman"/>
      <w:i/>
      <w:lang w:val="sv-SE"/>
    </w:rPr>
  </w:style>
  <w:style w:type="paragraph" w:customStyle="1" w:styleId="Paper-affiliations">
    <w:name w:val="Paper- affiliations"/>
    <w:basedOn w:val="Normal"/>
    <w:link w:val="Paper-affiliationsChar"/>
    <w:qFormat/>
    <w:rsid w:val="00C64FAF"/>
    <w:pPr>
      <w:spacing w:after="40"/>
    </w:pPr>
    <w:rPr>
      <w:rFonts w:ascii="Times New Roman" w:hAnsi="Times New Roman" w:cs="Times New Roman"/>
      <w:i/>
      <w:sz w:val="20"/>
    </w:rPr>
  </w:style>
  <w:style w:type="character" w:customStyle="1" w:styleId="Paper-affiliationsChar">
    <w:name w:val="Paper- affiliations Char"/>
    <w:basedOn w:val="DefaultParagraphFont"/>
    <w:link w:val="Paper-affiliations"/>
    <w:rsid w:val="00C64FAF"/>
    <w:rPr>
      <w:rFonts w:ascii="Times New Roman" w:hAnsi="Times New Roman" w:cs="Times New Roman"/>
      <w:i/>
      <w:sz w:val="20"/>
    </w:rPr>
  </w:style>
  <w:style w:type="paragraph" w:styleId="NormalWeb">
    <w:name w:val="Normal (Web)"/>
    <w:basedOn w:val="Normal"/>
    <w:uiPriority w:val="99"/>
    <w:semiHidden/>
    <w:unhideWhenUsed/>
    <w:rsid w:val="00082C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ouhanu@manit.ac.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37C16C5-A896-4563-AF2A-90DF2E4B1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30</Pages>
  <Words>33983</Words>
  <Characters>193705</Characters>
  <Application>Microsoft Office Word</Application>
  <DocSecurity>0</DocSecurity>
  <Lines>1614</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 Dewangan</dc:creator>
  <cp:keywords/>
  <dc:description/>
  <cp:lastModifiedBy>Ayush Kumar Dewangan</cp:lastModifiedBy>
  <cp:revision>142</cp:revision>
  <cp:lastPrinted>2025-11-02T14:47:00Z</cp:lastPrinted>
  <dcterms:created xsi:type="dcterms:W3CDTF">2025-11-05T20:36:00Z</dcterms:created>
  <dcterms:modified xsi:type="dcterms:W3CDTF">2025-11-21T17:28:00Z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id="n8Viowkg"/&gt;&lt;style id="http://www.zotero.org/styles/elsevier-in-silico-research-url-if-no-doi" locale="en-US" hasBibliography="1" bibliographyStyleHasBeenSet="1"/&gt;&lt;prefs&gt;&lt;pref name="fieldType" val</vt:lpwstr>
  </property>
  <property fmtid="{D5CDD505-2E9C-101B-9397-08002B2CF9AE}" pid="3" name="ZOTERO_PREF_2">
    <vt:lpwstr>ue="Field"/&gt;&lt;/prefs&gt;&lt;/data&gt;</vt:lpwstr>
  </property>
</Properties>
</file>