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Excerpt — Northfield Analytics (fictional)</w:t>
      </w:r>
    </w:p>
    <w:p>
      <w:r>
        <w:t>This is a fictional handbook excerpt used as sample corpus content.</w:t>
      </w:r>
    </w:p>
    <w:p>
      <w:pPr>
        <w:pStyle w:val="Heading2"/>
      </w:pPr>
      <w:r>
        <w:t>Expense Reimbursement</w:t>
      </w:r>
    </w:p>
    <w:p>
      <w:r>
        <w:t>Employees may submit expense reports for approved business travel, client meals, and conference registration fees. Reports must be submitted within 30 days of the expense being incurred.</w:t>
      </w:r>
    </w:p>
    <w:p>
      <w:pPr>
        <w:pStyle w:val="Heading2"/>
      </w:pPr>
      <w:r>
        <w:t>Approval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Expense Type</w:t>
            </w:r>
          </w:p>
        </w:tc>
        <w:tc>
          <w:tcPr>
            <w:tcW w:type="dxa" w:w="2880"/>
          </w:tcPr>
          <w:p>
            <w:r>
              <w:t>Approval Needed</w:t>
            </w:r>
          </w:p>
        </w:tc>
        <w:tc>
          <w:tcPr>
            <w:tcW w:type="dxa" w:w="2880"/>
          </w:tcPr>
          <w:p>
            <w:r>
              <w:t>Reimbursement Time</w:t>
            </w:r>
          </w:p>
        </w:tc>
      </w:tr>
      <w:tr>
        <w:tc>
          <w:tcPr>
            <w:tcW w:type="dxa" w:w="2880"/>
          </w:tcPr>
          <w:p>
            <w:r>
              <w:t>Travel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10 business days</w:t>
            </w:r>
          </w:p>
        </w:tc>
      </w:tr>
      <w:tr>
        <w:tc>
          <w:tcPr>
            <w:tcW w:type="dxa" w:w="2880"/>
          </w:tcPr>
          <w:p>
            <w:r>
              <w:t>Client meals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10 business days</w:t>
            </w:r>
          </w:p>
        </w:tc>
      </w:tr>
      <w:tr>
        <w:tc>
          <w:tcPr>
            <w:tcW w:type="dxa" w:w="2880"/>
          </w:tcPr>
          <w:p>
            <w:r>
              <w:t>Conference fees</w:t>
            </w:r>
          </w:p>
        </w:tc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15 business days</w:t>
            </w:r>
          </w:p>
        </w:tc>
      </w:tr>
    </w:tbl>
    <w:p/>
    <w:p>
      <w:pPr>
        <w:pStyle w:val="Heading2"/>
      </w:pPr>
      <w:r>
        <w:t>Late Submissions</w:t>
      </w:r>
    </w:p>
    <w:p>
      <w:r>
        <w:t>Expense reports submitted more than 30 days after the expense date require additional Director approval regardless of 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