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9343" w14:textId="77777777" w:rsidR="00B24AE0" w:rsidRDefault="00B24A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327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1772"/>
        <w:gridCol w:w="1108"/>
        <w:gridCol w:w="1176"/>
        <w:gridCol w:w="1056"/>
        <w:gridCol w:w="947"/>
        <w:gridCol w:w="1296"/>
        <w:gridCol w:w="902"/>
      </w:tblGrid>
      <w:tr w:rsidR="00B24AE0" w14:paraId="57AE1B7A" w14:textId="77777777" w:rsidTr="004F5DDF">
        <w:tc>
          <w:tcPr>
            <w:tcW w:w="720" w:type="dxa"/>
          </w:tcPr>
          <w:p w14:paraId="15453381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350" w:type="dxa"/>
          </w:tcPr>
          <w:p w14:paraId="1AD59E41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772" w:type="dxa"/>
          </w:tcPr>
          <w:p w14:paraId="1024D48B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 Description</w:t>
            </w:r>
          </w:p>
        </w:tc>
        <w:tc>
          <w:tcPr>
            <w:tcW w:w="1108" w:type="dxa"/>
          </w:tcPr>
          <w:p w14:paraId="6FFAA36C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1176" w:type="dxa"/>
          </w:tcPr>
          <w:p w14:paraId="7D5C58A5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056" w:type="dxa"/>
          </w:tcPr>
          <w:p w14:paraId="5AC1C03B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947" w:type="dxa"/>
          </w:tcPr>
          <w:p w14:paraId="55F86EE0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1296" w:type="dxa"/>
          </w:tcPr>
          <w:p w14:paraId="36C2603E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</w:t>
            </w:r>
          </w:p>
        </w:tc>
        <w:tc>
          <w:tcPr>
            <w:tcW w:w="902" w:type="dxa"/>
          </w:tcPr>
          <w:p w14:paraId="59F2EE55" w14:textId="77777777" w:rsidR="00B24AE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B24AE0" w14:paraId="4F7548EC" w14:textId="77777777" w:rsidTr="004F5DDF">
        <w:tc>
          <w:tcPr>
            <w:tcW w:w="720" w:type="dxa"/>
          </w:tcPr>
          <w:p w14:paraId="4D61070A" w14:textId="50D9F673" w:rsidR="00B24AE0" w:rsidRDefault="00AB0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E57DDCE" w14:textId="2E86E30E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Inadequate Training Data</w:t>
            </w:r>
          </w:p>
        </w:tc>
        <w:tc>
          <w:tcPr>
            <w:tcW w:w="1772" w:type="dxa"/>
          </w:tcPr>
          <w:p w14:paraId="2BE4F324" w14:textId="0B20E968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may be lack of face portrait image to train the model </w:t>
            </w:r>
          </w:p>
        </w:tc>
        <w:tc>
          <w:tcPr>
            <w:tcW w:w="1108" w:type="dxa"/>
          </w:tcPr>
          <w:p w14:paraId="0950749D" w14:textId="7E8B5108" w:rsidR="00B24AE0" w:rsidRDefault="00644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176" w:type="dxa"/>
          </w:tcPr>
          <w:p w14:paraId="6E9657EA" w14:textId="768F1FE0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18B7A4A5" w14:textId="22BB2B9F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58341280" w14:textId="5959B6DA" w:rsidR="00B24AE0" w:rsidRDefault="00AB0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</w:p>
        </w:tc>
        <w:tc>
          <w:tcPr>
            <w:tcW w:w="1296" w:type="dxa"/>
          </w:tcPr>
          <w:p w14:paraId="011091B7" w14:textId="77777777" w:rsidR="00B24AE0" w:rsidRDefault="00B24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B69A0E" w14:textId="301EDA99" w:rsidR="00EA742B" w:rsidRPr="00EA742B" w:rsidRDefault="00EA742B" w:rsidP="00EA7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Diverse Data Collection</w:t>
            </w:r>
          </w:p>
        </w:tc>
        <w:tc>
          <w:tcPr>
            <w:tcW w:w="902" w:type="dxa"/>
          </w:tcPr>
          <w:p w14:paraId="5840F7F5" w14:textId="3F2D411E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B24AE0" w14:paraId="4C35F7E5" w14:textId="77777777" w:rsidTr="004F5DDF">
        <w:tc>
          <w:tcPr>
            <w:tcW w:w="720" w:type="dxa"/>
          </w:tcPr>
          <w:p w14:paraId="617B542F" w14:textId="08A6E99D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3596FBB" w14:textId="0ADC5408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Facial Recognition Accuracy</w:t>
            </w:r>
          </w:p>
        </w:tc>
        <w:tc>
          <w:tcPr>
            <w:tcW w:w="1772" w:type="dxa"/>
          </w:tcPr>
          <w:p w14:paraId="29203EEA" w14:textId="0931FA6F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may not accurately identify and analyze face shapes</w:t>
            </w:r>
          </w:p>
        </w:tc>
        <w:tc>
          <w:tcPr>
            <w:tcW w:w="1108" w:type="dxa"/>
          </w:tcPr>
          <w:p w14:paraId="551A52A6" w14:textId="2FAD1F6B" w:rsidR="00B24AE0" w:rsidRDefault="00644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1176" w:type="dxa"/>
          </w:tcPr>
          <w:p w14:paraId="6DE19A9F" w14:textId="0018D888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02F5AA52" w14:textId="430A3848" w:rsidR="00B24AE0" w:rsidRDefault="00644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2593B646" w14:textId="72FADF7D" w:rsidR="00B24AE0" w:rsidRDefault="00AB0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</w:p>
        </w:tc>
        <w:tc>
          <w:tcPr>
            <w:tcW w:w="1296" w:type="dxa"/>
          </w:tcPr>
          <w:p w14:paraId="2EC474E6" w14:textId="44AA7217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model with diverse data</w:t>
            </w:r>
          </w:p>
        </w:tc>
        <w:tc>
          <w:tcPr>
            <w:tcW w:w="902" w:type="dxa"/>
          </w:tcPr>
          <w:p w14:paraId="41C56163" w14:textId="0061DE21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B24AE0" w14:paraId="54886A3D" w14:textId="77777777" w:rsidTr="004F5DDF">
        <w:tc>
          <w:tcPr>
            <w:tcW w:w="720" w:type="dxa"/>
          </w:tcPr>
          <w:p w14:paraId="4D73D95E" w14:textId="27F91564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066C86E" w14:textId="7E7E9151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Hairstyle Database Relevance</w:t>
            </w:r>
          </w:p>
        </w:tc>
        <w:tc>
          <w:tcPr>
            <w:tcW w:w="1772" w:type="dxa"/>
          </w:tcPr>
          <w:p w14:paraId="322429A2" w14:textId="6CBEF48D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Hairstyle may be </w:t>
            </w:r>
            <w:r w:rsidR="00096FF9">
              <w:rPr>
                <w:rFonts w:ascii="Times New Roman" w:eastAsia="Times New Roman" w:hAnsi="Times New Roman" w:cs="Times New Roman"/>
                <w:sz w:val="24"/>
                <w:szCs w:val="24"/>
              </w:rPr>
              <w:t>outdated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may not cover diverse preference</w:t>
            </w:r>
          </w:p>
        </w:tc>
        <w:tc>
          <w:tcPr>
            <w:tcW w:w="1108" w:type="dxa"/>
          </w:tcPr>
          <w:p w14:paraId="305E077D" w14:textId="0007DAEA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1176" w:type="dxa"/>
          </w:tcPr>
          <w:p w14:paraId="225225DF" w14:textId="0E854086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1056" w:type="dxa"/>
          </w:tcPr>
          <w:p w14:paraId="44839F39" w14:textId="3BC6353E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947" w:type="dxa"/>
          </w:tcPr>
          <w:p w14:paraId="088024ED" w14:textId="43485774" w:rsidR="00B24AE0" w:rsidRDefault="00AB0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</w:p>
        </w:tc>
        <w:tc>
          <w:tcPr>
            <w:tcW w:w="1296" w:type="dxa"/>
          </w:tcPr>
          <w:p w14:paraId="37155C0F" w14:textId="7FCCAF27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database with new trends</w:t>
            </w:r>
          </w:p>
        </w:tc>
        <w:tc>
          <w:tcPr>
            <w:tcW w:w="902" w:type="dxa"/>
          </w:tcPr>
          <w:p w14:paraId="49797B9F" w14:textId="5FB16111" w:rsidR="00B24AE0" w:rsidRDefault="00FD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B24AE0" w14:paraId="6868BB1E" w14:textId="77777777" w:rsidTr="004F5DDF">
        <w:tc>
          <w:tcPr>
            <w:tcW w:w="720" w:type="dxa"/>
          </w:tcPr>
          <w:p w14:paraId="10607A15" w14:textId="25CFC456" w:rsidR="00B24AE0" w:rsidRDefault="004C7F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60383BE3" w14:textId="085B48FD" w:rsidR="00B24AE0" w:rsidRDefault="004C7F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Challenges</w:t>
            </w:r>
          </w:p>
        </w:tc>
        <w:tc>
          <w:tcPr>
            <w:tcW w:w="1772" w:type="dxa"/>
          </w:tcPr>
          <w:p w14:paraId="685E5F82" w14:textId="6D34D942" w:rsidR="00B24AE0" w:rsidRDefault="004C7F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Integrating facial recognition module, hairstyle database and user interface may encounter challenges in compatibility</w:t>
            </w:r>
          </w:p>
        </w:tc>
        <w:tc>
          <w:tcPr>
            <w:tcW w:w="1108" w:type="dxa"/>
          </w:tcPr>
          <w:p w14:paraId="0782FB96" w14:textId="4BEB3AC7" w:rsidR="00B24AE0" w:rsidRDefault="004C7F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1176" w:type="dxa"/>
          </w:tcPr>
          <w:p w14:paraId="46FA588C" w14:textId="22CE7B06" w:rsidR="00B24AE0" w:rsidRDefault="004C7F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56" w:type="dxa"/>
          </w:tcPr>
          <w:p w14:paraId="0D23CF66" w14:textId="13BD09E4" w:rsidR="00B24AE0" w:rsidRDefault="004C7F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65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47" w:type="dxa"/>
          </w:tcPr>
          <w:p w14:paraId="31D83C0B" w14:textId="48F97CDC" w:rsidR="00B24AE0" w:rsidRDefault="00AB0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</w:p>
        </w:tc>
        <w:tc>
          <w:tcPr>
            <w:tcW w:w="1296" w:type="dxa"/>
          </w:tcPr>
          <w:p w14:paraId="4F84507B" w14:textId="79FF3BDD" w:rsidR="00B24AE0" w:rsidRDefault="004C7F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 comprehensive integration testing to identify and address compatibility issue</w:t>
            </w:r>
          </w:p>
        </w:tc>
        <w:tc>
          <w:tcPr>
            <w:tcW w:w="902" w:type="dxa"/>
          </w:tcPr>
          <w:p w14:paraId="22105A66" w14:textId="4E4216AF" w:rsidR="00B24AE0" w:rsidRDefault="00DB3E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5091D778" w14:textId="77777777" w:rsidR="00B24AE0" w:rsidRDefault="00B24A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3EDBD" w14:textId="77777777" w:rsidR="00B24AE0" w:rsidRDefault="00B24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428A6" w14:textId="77777777" w:rsidR="00B24AE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Notes:</w:t>
      </w:r>
    </w:p>
    <w:p w14:paraId="035862F7" w14:textId="77777777" w:rsidR="00B24AE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ID values may be useful to refer back to in your final documentation. Number these in order. This register should be included in the appendix</w:t>
      </w:r>
    </w:p>
    <w:p w14:paraId="70D95E77" w14:textId="77777777" w:rsidR="00B24AE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Risk description provides an outline of the issue </w:t>
      </w:r>
    </w:p>
    <w:p w14:paraId="5E09F909" w14:textId="77777777" w:rsidR="00B24AE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Please use </w:t>
      </w:r>
      <w:r>
        <w:rPr>
          <w:color w:val="000000"/>
          <w:highlight w:val="green"/>
        </w:rPr>
        <w:t>Low</w:t>
      </w:r>
      <w:r>
        <w:rPr>
          <w:color w:val="000000"/>
        </w:rPr>
        <w:t xml:space="preserve">, </w:t>
      </w:r>
      <w:r>
        <w:rPr>
          <w:color w:val="000000"/>
          <w:highlight w:val="yellow"/>
        </w:rPr>
        <w:t>Medium</w:t>
      </w:r>
      <w:r>
        <w:rPr>
          <w:color w:val="000000"/>
        </w:rPr>
        <w:t xml:space="preserve"> and </w:t>
      </w:r>
      <w:r>
        <w:rPr>
          <w:color w:val="000000"/>
          <w:highlight w:val="red"/>
        </w:rPr>
        <w:t>High</w:t>
      </w:r>
      <w:r>
        <w:rPr>
          <w:color w:val="000000"/>
        </w:rPr>
        <w:t xml:space="preserve"> to identify the risk level and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code.</w:t>
      </w:r>
    </w:p>
    <w:p w14:paraId="3FA3A736" w14:textId="77777777" w:rsidR="00B24AE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Typically the owner will be you, but it </w:t>
      </w:r>
      <w:proofErr w:type="spellStart"/>
      <w:r>
        <w:rPr>
          <w:color w:val="000000"/>
        </w:rPr>
        <w:t>maybe</w:t>
      </w:r>
      <w:proofErr w:type="spellEnd"/>
      <w:r>
        <w:rPr>
          <w:color w:val="000000"/>
        </w:rPr>
        <w:t xml:space="preserve"> the case in team work or other projects that have external clients, other activities may impact on the project</w:t>
      </w:r>
    </w:p>
    <w:p w14:paraId="04528D66" w14:textId="77777777" w:rsidR="00B24AE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Mitigation implies on how you will manage the risk and to reduce the likelihood of it occurring</w:t>
      </w:r>
    </w:p>
    <w:p w14:paraId="6E07402B" w14:textId="77777777" w:rsidR="00B24AE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Status – has the risk event now passed. It should indicate an Open and Closed status.</w:t>
      </w:r>
    </w:p>
    <w:p w14:paraId="2735A1B7" w14:textId="77777777" w:rsidR="00B24AE0" w:rsidRDefault="00B24AE0"/>
    <w:sectPr w:rsidR="00B24A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AE0"/>
    <w:rsid w:val="00096FF9"/>
    <w:rsid w:val="000D5F56"/>
    <w:rsid w:val="004C7F5F"/>
    <w:rsid w:val="004F5DDF"/>
    <w:rsid w:val="0053070A"/>
    <w:rsid w:val="00535AC7"/>
    <w:rsid w:val="0064414C"/>
    <w:rsid w:val="007F211F"/>
    <w:rsid w:val="008D2B0B"/>
    <w:rsid w:val="00AB0427"/>
    <w:rsid w:val="00B1265D"/>
    <w:rsid w:val="00B24AE0"/>
    <w:rsid w:val="00DB3E27"/>
    <w:rsid w:val="00EA742B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3121"/>
  <w15:docId w15:val="{ECB81789-F226-4012-9E1E-733C6D1E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0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kSayLI95y4Sg0EhfRI/Vqqzbg==">AMUW2mWlyWi9lAYcjF4qPPWbFigblh/pIXf2SZRZdZo6WDd4U7des2e3Fw175qy3+7IsjH9EraOVKSi4B6OC4aLHYikM/Sb5UMAEbgjkhCXLNd90GelLLvkFvumDmXZan25U04hca/Bu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Animesh Thapa</cp:lastModifiedBy>
  <cp:revision>14</cp:revision>
  <dcterms:created xsi:type="dcterms:W3CDTF">2022-01-19T16:15:00Z</dcterms:created>
  <dcterms:modified xsi:type="dcterms:W3CDTF">2024-01-07T15:22:00Z</dcterms:modified>
</cp:coreProperties>
</file>