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D50"/>
          <w:sz w:val="34"/>
          <w:szCs w:val="34"/>
        </w:rPr>
        <w:t xml:space="preserve">Sales Forecasting &amp; Demand Intelligence</w:t>
      </w:r>
    </w:p>
    <w:p>
      <w:pPr>
        <w:pBdr>
          <w:bottom w:val="single" w:color="B5651D" w:sz="6" w:space="8"/>
        </w:pBdr>
        <w:spacing w:after="40"/>
        <w:jc w:val="center"/>
      </w:pPr>
      <w:r>
        <w:rPr>
          <w:i/>
          <w:iCs/>
          <w:color w:val="555555"/>
          <w:sz w:val="20"/>
          <w:szCs w:val="20"/>
        </w:rPr>
        <w:t xml:space="preserve">Confidential Business Report — Prepared for Head of Supply Chain &amp; CFO</w:t>
      </w:r>
    </w:p>
    <w:p>
      <w:pPr>
        <w:spacing w:after="180"/>
        <w:jc w:val="center"/>
      </w:pPr>
      <w:r>
        <w:rPr>
          <w:color w:val="888888"/>
          <w:sz w:val="17"/>
          <w:szCs w:val="17"/>
        </w:rPr>
        <w:t xml:space="preserve">Superstore Sales Data, 2015–2018  |  Prepared July 2026</w:t>
      </w:r>
    </w:p>
    <w:p>
      <w:pPr>
        <w:pStyle w:val="Heading1"/>
        <w:spacing w:after="100" w:before="220"/>
      </w:pPr>
      <w:r>
        <w:rPr>
          <w:b/>
          <w:bCs/>
          <w:color w:val="1F2D50"/>
          <w:sz w:val="26"/>
          <w:szCs w:val="26"/>
        </w:rPr>
        <w:t xml:space="preserve">Executive Summary</w:t>
      </w:r>
    </w:p>
    <w:p>
      <w:pPr>
        <w:spacing w:after="110"/>
      </w:pPr>
      <w:r>
        <w:rPr>
          <w:sz w:val="21"/>
          <w:szCs w:val="21"/>
        </w:rPr>
        <w:t xml:space="preserve">Over the past four years, company-wide sales have grown steadily from roughly $480,000 to $722,000 a year, but that growth is uneven: it is concentrated in certain months, certain regions, and certain products. This report distills a full analysis of four years of order data into what actually matters for planning: which months to staff and stock up for, which regions and product lines are genuinely accelerating versus just large, where unusual sales spikes came from, and how to tailor inventory strategy by product type instead of a one-size-fits-all approach. The headline for planning purposes: sales are forecast to be volatile over the next three months (a strong March rebound after a softer February), so purchasing and staffing plans should flex month-to-month rather than assume a flat run rate.</w:t>
      </w:r>
    </w:p>
    <w:p>
      <w:pPr>
        <w:pStyle w:val="Heading1"/>
        <w:spacing w:after="100" w:before="220"/>
      </w:pPr>
      <w:r>
        <w:rPr>
          <w:b/>
          <w:bCs/>
          <w:color w:val="1F2D50"/>
          <w:sz w:val="26"/>
          <w:szCs w:val="26"/>
        </w:rPr>
        <w:t xml:space="preserve">Key Findings</w:t>
      </w:r>
    </w:p>
    <w:p>
      <w:pPr>
        <w:pStyle w:val="ListParagraph"/>
        <w:numPr>
          <w:ilvl w:val="0"/>
          <w:numId w:val="1"/>
        </w:numPr>
        <w:spacing w:after="70"/>
      </w:pPr>
      <w:r>
        <w:rPr>
          <w:sz w:val="21"/>
          <w:szCs w:val="21"/>
        </w:rPr>
        <w:t xml:space="preserve">Seasonality is the single biggest driver of month-to-month swings. November and September reliably spike every year; January and February are reliably the slowest months, without exception across all four years. Any forecast or stocking plan that ignores this will be wrong in a predictable, avoidable way.</w:t>
      </w:r>
    </w:p>
    <w:p>
      <w:pPr>
        <w:pStyle w:val="ListParagraph"/>
        <w:numPr>
          <w:ilvl w:val="0"/>
          <w:numId w:val="1"/>
        </w:numPr>
        <w:spacing w:after="70"/>
      </w:pPr>
      <w:r>
        <w:rPr>
          <w:sz w:val="21"/>
          <w:szCs w:val="21"/>
        </w:rPr>
        <w:t xml:space="preserve">Technology is the top revenue category ($827K total) despite Office Supplies generating over three times as many orders (5,909 vs. 1,813) — Technology sells less often but at a much higher price point per order.</w:t>
      </w:r>
    </w:p>
    <w:p>
      <w:pPr>
        <w:pStyle w:val="ListParagraph"/>
        <w:numPr>
          <w:ilvl w:val="0"/>
          <w:numId w:val="1"/>
        </w:numPr>
        <w:spacing w:after="70"/>
      </w:pPr>
      <w:r>
        <w:rPr>
          <w:sz w:val="21"/>
          <w:szCs w:val="21"/>
        </w:rPr>
        <w:t xml:space="preserve">East is the most reliably growing region (+20%, +17%, +18% year-over-year — remarkably steady), while South is the most volatile (a 32% drop followed by two years of 30%+ growth). West remains the largest region by total revenue.</w:t>
      </w:r>
    </w:p>
    <w:p>
      <w:pPr>
        <w:pStyle w:val="ListParagraph"/>
        <w:numPr>
          <w:ilvl w:val="0"/>
          <w:numId w:val="1"/>
        </w:numPr>
        <w:spacing w:after="70"/>
      </w:pPr>
      <w:r>
        <w:rPr>
          <w:sz w:val="21"/>
          <w:szCs w:val="21"/>
        </w:rPr>
        <w:t xml:space="preserve">Three forecasting approaches were tested head-to-head (a classical statistical model, a Facebook-built forecasting tool, and a machine-learning model). The classical statistical model (SARIMA) was the most accurate, with an average forecast error of about $13,300 per month on real, verified recent months — meaningfully better than the other two approaches (roughly $18,000 error each).</w:t>
      </w:r>
    </w:p>
    <w:p>
      <w:pPr>
        <w:pStyle w:val="Heading1"/>
        <w:spacing w:after="100" w:before="220"/>
      </w:pPr>
      <w:r>
        <w:rPr>
          <w:b/>
          <w:bCs/>
          <w:color w:val="1F2D50"/>
          <w:sz w:val="26"/>
          <w:szCs w:val="26"/>
        </w:rPr>
        <w:t xml:space="preserve">3-Month Sales Forecast (Company-Wide)</w:t>
      </w:r>
    </w:p>
    <w:p>
      <w:pPr>
        <w:spacing w:after="110"/>
      </w:pPr>
      <w:r>
        <w:rPr>
          <w:sz w:val="21"/>
          <w:szCs w:val="21"/>
        </w:rPr>
        <w:t xml:space="preserve">Using the best-performing model, projected total sales for the next three months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2D50" w:val="clear"/>
            <w:tcMar>
              <w:top w:type="dxa" w:w="60"/>
              <w:left w:type="dxa" w:w="100"/>
              <w:bottom w:type="dxa" w:w="60"/>
              <w:right w:type="dxa" w:w="100"/>
            </w:tcMar>
          </w:tcPr>
          <w:p>
            <w:r>
              <w:rPr>
                <w:b/>
                <w:bCs/>
                <w:color w:val="FFFFFF"/>
                <w:sz w:val="19"/>
                <w:szCs w:val="19"/>
              </w:rPr>
              <w:t xml:space="preserve">Month</w:t>
            </w:r>
          </w:p>
        </w:tc>
        <w:tc>
          <w:tcPr>
            <w:tcW w:type="dxa" w:w="2340"/>
            <w:shd w:fill="1F2D50" w:val="clear"/>
            <w:tcMar>
              <w:top w:type="dxa" w:w="60"/>
              <w:left w:type="dxa" w:w="100"/>
              <w:bottom w:type="dxa" w:w="60"/>
              <w:right w:type="dxa" w:w="100"/>
            </w:tcMar>
          </w:tcPr>
          <w:p>
            <w:r>
              <w:rPr>
                <w:b/>
                <w:bCs/>
                <w:color w:val="FFFFFF"/>
                <w:sz w:val="19"/>
                <w:szCs w:val="19"/>
              </w:rPr>
              <w:t xml:space="preserve">Expected Sales</w:t>
            </w:r>
          </w:p>
        </w:tc>
        <w:tc>
          <w:tcPr>
            <w:tcW w:type="dxa" w:w="2340"/>
            <w:shd w:fill="1F2D50" w:val="clear"/>
            <w:tcMar>
              <w:top w:type="dxa" w:w="60"/>
              <w:left w:type="dxa" w:w="100"/>
              <w:bottom w:type="dxa" w:w="60"/>
              <w:right w:type="dxa" w:w="100"/>
            </w:tcMar>
          </w:tcPr>
          <w:p>
            <w:r>
              <w:rPr>
                <w:b/>
                <w:bCs/>
                <w:color w:val="FFFFFF"/>
                <w:sz w:val="19"/>
                <w:szCs w:val="19"/>
              </w:rPr>
              <w:t xml:space="preserve">Likely Range (Low)</w:t>
            </w:r>
          </w:p>
        </w:tc>
        <w:tc>
          <w:tcPr>
            <w:tcW w:type="dxa" w:w="2340"/>
            <w:shd w:fill="1F2D50" w:val="clear"/>
            <w:tcMar>
              <w:top w:type="dxa" w:w="60"/>
              <w:left w:type="dxa" w:w="100"/>
              <w:bottom w:type="dxa" w:w="60"/>
              <w:right w:type="dxa" w:w="100"/>
            </w:tcMar>
          </w:tcPr>
          <w:p>
            <w:r>
              <w:rPr>
                <w:b/>
                <w:bCs/>
                <w:color w:val="FFFFFF"/>
                <w:sz w:val="19"/>
                <w:szCs w:val="19"/>
              </w:rPr>
              <w:t xml:space="preserve">Likely Range (High)</w:t>
            </w:r>
          </w:p>
        </w:tc>
      </w:tr>
      <w:tr>
        <w:tc>
          <w:tcPr>
            <w:tcW w:type="dxa" w:w="2340"/>
            <w:tcMar>
              <w:top w:type="dxa" w:w="60"/>
              <w:left w:type="dxa" w:w="100"/>
              <w:bottom w:type="dxa" w:w="60"/>
              <w:right w:type="dxa" w:w="100"/>
            </w:tcMar>
          </w:tcPr>
          <w:p>
            <w:r>
              <w:rPr>
                <w:b w:val="false"/>
                <w:bCs w:val="false"/>
                <w:sz w:val="19"/>
                <w:szCs w:val="19"/>
              </w:rPr>
              <w:t xml:space="preserve">Month 1</w:t>
            </w:r>
          </w:p>
        </w:tc>
        <w:tc>
          <w:tcPr>
            <w:tcW w:type="dxa" w:w="2340"/>
            <w:tcMar>
              <w:top w:type="dxa" w:w="60"/>
              <w:left w:type="dxa" w:w="100"/>
              <w:bottom w:type="dxa" w:w="60"/>
              <w:right w:type="dxa" w:w="100"/>
            </w:tcMar>
          </w:tcPr>
          <w:p>
            <w:r>
              <w:rPr>
                <w:b w:val="false"/>
                <w:bCs w:val="false"/>
                <w:sz w:val="19"/>
                <w:szCs w:val="19"/>
              </w:rPr>
              <w:t xml:space="preserve">$50,400</w:t>
            </w:r>
          </w:p>
        </w:tc>
        <w:tc>
          <w:tcPr>
            <w:tcW w:type="dxa" w:w="2340"/>
            <w:tcMar>
              <w:top w:type="dxa" w:w="60"/>
              <w:left w:type="dxa" w:w="100"/>
              <w:bottom w:type="dxa" w:w="60"/>
              <w:right w:type="dxa" w:w="100"/>
            </w:tcMar>
          </w:tcPr>
          <w:p>
            <w:r>
              <w:rPr>
                <w:b w:val="false"/>
                <w:bCs w:val="false"/>
                <w:sz w:val="19"/>
                <w:szCs w:val="19"/>
              </w:rPr>
              <w:t xml:space="preserve">$22,800</w:t>
            </w:r>
          </w:p>
        </w:tc>
        <w:tc>
          <w:tcPr>
            <w:tcW w:type="dxa" w:w="2340"/>
            <w:tcMar>
              <w:top w:type="dxa" w:w="60"/>
              <w:left w:type="dxa" w:w="100"/>
              <w:bottom w:type="dxa" w:w="60"/>
              <w:right w:type="dxa" w:w="100"/>
            </w:tcMar>
          </w:tcPr>
          <w:p>
            <w:r>
              <w:rPr>
                <w:b w:val="false"/>
                <w:bCs w:val="false"/>
                <w:sz w:val="19"/>
                <w:szCs w:val="19"/>
              </w:rPr>
              <w:t xml:space="preserve">$78,000</w:t>
            </w:r>
          </w:p>
        </w:tc>
      </w:tr>
      <w:tr>
        <w:tc>
          <w:tcPr>
            <w:tcW w:type="dxa" w:w="2340"/>
            <w:shd w:fill="F2F2F2" w:val="clear"/>
            <w:tcMar>
              <w:top w:type="dxa" w:w="60"/>
              <w:left w:type="dxa" w:w="100"/>
              <w:bottom w:type="dxa" w:w="60"/>
              <w:right w:type="dxa" w:w="100"/>
            </w:tcMar>
          </w:tcPr>
          <w:p>
            <w:r>
              <w:rPr>
                <w:b w:val="false"/>
                <w:bCs w:val="false"/>
                <w:sz w:val="19"/>
                <w:szCs w:val="19"/>
              </w:rPr>
              <w:t xml:space="preserve">Month 2</w:t>
            </w:r>
          </w:p>
        </w:tc>
        <w:tc>
          <w:tcPr>
            <w:tcW w:type="dxa" w:w="2340"/>
            <w:shd w:fill="F2F2F2" w:val="clear"/>
            <w:tcMar>
              <w:top w:type="dxa" w:w="60"/>
              <w:left w:type="dxa" w:w="100"/>
              <w:bottom w:type="dxa" w:w="60"/>
              <w:right w:type="dxa" w:w="100"/>
            </w:tcMar>
          </w:tcPr>
          <w:p>
            <w:r>
              <w:rPr>
                <w:b w:val="false"/>
                <w:bCs w:val="false"/>
                <w:sz w:val="19"/>
                <w:szCs w:val="19"/>
              </w:rPr>
              <w:t xml:space="preserve">$33,000</w:t>
            </w:r>
          </w:p>
        </w:tc>
        <w:tc>
          <w:tcPr>
            <w:tcW w:type="dxa" w:w="2340"/>
            <w:shd w:fill="F2F2F2" w:val="clear"/>
            <w:tcMar>
              <w:top w:type="dxa" w:w="60"/>
              <w:left w:type="dxa" w:w="100"/>
              <w:bottom w:type="dxa" w:w="60"/>
              <w:right w:type="dxa" w:w="100"/>
            </w:tcMar>
          </w:tcPr>
          <w:p>
            <w:r>
              <w:rPr>
                <w:b w:val="false"/>
                <w:bCs w:val="false"/>
                <w:sz w:val="19"/>
                <w:szCs w:val="19"/>
              </w:rPr>
              <w:t xml:space="preserve">as low as $0*</w:t>
            </w:r>
          </w:p>
        </w:tc>
        <w:tc>
          <w:tcPr>
            <w:tcW w:type="dxa" w:w="2340"/>
            <w:shd w:fill="F2F2F2" w:val="clear"/>
            <w:tcMar>
              <w:top w:type="dxa" w:w="60"/>
              <w:left w:type="dxa" w:w="100"/>
              <w:bottom w:type="dxa" w:w="60"/>
              <w:right w:type="dxa" w:w="100"/>
            </w:tcMar>
          </w:tcPr>
          <w:p>
            <w:r>
              <w:rPr>
                <w:b w:val="false"/>
                <w:bCs w:val="false"/>
                <w:sz w:val="19"/>
                <w:szCs w:val="19"/>
              </w:rPr>
              <w:t xml:space="preserve">$72,700</w:t>
            </w:r>
          </w:p>
        </w:tc>
      </w:tr>
      <w:tr>
        <w:tc>
          <w:tcPr>
            <w:tcW w:type="dxa" w:w="2340"/>
            <w:tcMar>
              <w:top w:type="dxa" w:w="60"/>
              <w:left w:type="dxa" w:w="100"/>
              <w:bottom w:type="dxa" w:w="60"/>
              <w:right w:type="dxa" w:w="100"/>
            </w:tcMar>
          </w:tcPr>
          <w:p>
            <w:r>
              <w:rPr>
                <w:b w:val="false"/>
                <w:bCs w:val="false"/>
                <w:sz w:val="19"/>
                <w:szCs w:val="19"/>
              </w:rPr>
              <w:t xml:space="preserve">Month 3</w:t>
            </w:r>
          </w:p>
        </w:tc>
        <w:tc>
          <w:tcPr>
            <w:tcW w:type="dxa" w:w="2340"/>
            <w:tcMar>
              <w:top w:type="dxa" w:w="60"/>
              <w:left w:type="dxa" w:w="100"/>
              <w:bottom w:type="dxa" w:w="60"/>
              <w:right w:type="dxa" w:w="100"/>
            </w:tcMar>
          </w:tcPr>
          <w:p>
            <w:r>
              <w:rPr>
                <w:b w:val="false"/>
                <w:bCs w:val="false"/>
                <w:sz w:val="19"/>
                <w:szCs w:val="19"/>
              </w:rPr>
              <w:t xml:space="preserve">$65,900</w:t>
            </w:r>
          </w:p>
        </w:tc>
        <w:tc>
          <w:tcPr>
            <w:tcW w:type="dxa" w:w="2340"/>
            <w:tcMar>
              <w:top w:type="dxa" w:w="60"/>
              <w:left w:type="dxa" w:w="100"/>
              <w:bottom w:type="dxa" w:w="60"/>
              <w:right w:type="dxa" w:w="100"/>
            </w:tcMar>
          </w:tcPr>
          <w:p>
            <w:r>
              <w:rPr>
                <w:b w:val="false"/>
                <w:bCs w:val="false"/>
                <w:sz w:val="19"/>
                <w:szCs w:val="19"/>
              </w:rPr>
              <w:t xml:space="preserve">$18,700</w:t>
            </w:r>
          </w:p>
        </w:tc>
        <w:tc>
          <w:tcPr>
            <w:tcW w:type="dxa" w:w="2340"/>
            <w:tcMar>
              <w:top w:type="dxa" w:w="60"/>
              <w:left w:type="dxa" w:w="100"/>
              <w:bottom w:type="dxa" w:w="60"/>
              <w:right w:type="dxa" w:w="100"/>
            </w:tcMar>
          </w:tcPr>
          <w:p>
            <w:r>
              <w:rPr>
                <w:b w:val="false"/>
                <w:bCs w:val="false"/>
                <w:sz w:val="19"/>
                <w:szCs w:val="19"/>
              </w:rPr>
              <w:t xml:space="preserve">$113,000</w:t>
            </w:r>
          </w:p>
        </w:tc>
      </w:tr>
    </w:tbl>
    <w:p>
      <w:pPr>
        <w:spacing w:after="110"/>
      </w:pPr>
      <w:r>
        <w:rPr>
          <w:i/>
          <w:iCs/>
          <w:sz w:val="19"/>
          <w:szCs w:val="19"/>
        </w:rPr>
        <w:t xml:space="preserve">*The model's calculated low end for Month 2 was technically negative, which is not realistic — sales cannot go below zero. This is treated as $0 and flagged in the Risk section below as a real limitation to be aware of, not smoothed over.</w:t>
      </w:r>
    </w:p>
    <w:p>
      <w:pPr>
        <w:spacing w:after="110"/>
      </w:pPr>
      <w:r>
        <w:rPr>
          <w:sz w:val="21"/>
          <w:szCs w:val="21"/>
        </w:rPr>
        <w:t xml:space="preserve">In plain terms: expect a moderate month, then a dip, then a strong rebound — consistent with the historical pattern of a slower start to the year followed by recovery. The wide ranges reflect genuine month-to-month unpredictability in this business, not a weak model; three months is inherently a hard horizon to pin down precisely.</w:t>
      </w:r>
    </w:p>
    <w:p>
      <w:pPr>
        <w:pStyle w:val="Heading1"/>
        <w:spacing w:after="100" w:before="220"/>
      </w:pPr>
      <w:r>
        <w:rPr>
          <w:b/>
          <w:bCs/>
          <w:color w:val="1F2D50"/>
          <w:sz w:val="26"/>
          <w:szCs w:val="26"/>
        </w:rPr>
        <w:t xml:space="preserve">Top 3 Anomalies Detected</w:t>
      </w:r>
    </w:p>
    <w:p>
      <w:pPr>
        <w:pStyle w:val="ListParagraph"/>
        <w:numPr>
          <w:ilvl w:val="0"/>
          <w:numId w:val="1"/>
        </w:numPr>
        <w:spacing w:after="70"/>
      </w:pPr>
      <w:r>
        <w:rPr>
          <w:sz w:val="21"/>
          <w:szCs w:val="21"/>
        </w:rPr>
        <w:t xml:space="preserve">Week of March 22, 2015 — an unusually large sales spike ($37,700 in a single week), flagged independently by both detection methods used, making this the highest-confidence anomaly found. Likely cause: one or more large bulk orders; worth checking if this maps to a specific account or a one-off promotion, since it does not repeat in later years.</w:t>
      </w:r>
    </w:p>
    <w:p>
      <w:pPr>
        <w:pStyle w:val="ListParagraph"/>
        <w:numPr>
          <w:ilvl w:val="0"/>
          <w:numId w:val="1"/>
        </w:numPr>
        <w:spacing w:after="70"/>
      </w:pPr>
      <w:r>
        <w:rPr>
          <w:sz w:val="21"/>
          <w:szCs w:val="21"/>
        </w:rPr>
        <w:t xml:space="preserve">Week of December 2, 2018 — a sharp spike ($36,000) immediately following Black Friday and Cyber Monday. Likely cause: holiday shopping carry-over, consistent with the broader November-peak seasonal pattern.</w:t>
      </w:r>
    </w:p>
    <w:p>
      <w:pPr>
        <w:pStyle w:val="ListParagraph"/>
        <w:numPr>
          <w:ilvl w:val="0"/>
          <w:numId w:val="1"/>
        </w:numPr>
        <w:spacing w:after="70"/>
      </w:pPr>
      <w:r>
        <w:rPr>
          <w:sz w:val="21"/>
          <w:szCs w:val="21"/>
        </w:rPr>
        <w:t xml:space="preserve">Week of November 18, 2018 — another sharp spike ($30,600) in the heart of the holiday shopping window. Likely cause: same holiday-driven demand surge.</w:t>
      </w:r>
    </w:p>
    <w:p>
      <w:pPr>
        <w:pStyle w:val="Heading1"/>
        <w:spacing w:after="100" w:before="220"/>
      </w:pPr>
      <w:r>
        <w:rPr>
          <w:b/>
          <w:bCs/>
          <w:color w:val="1F2D50"/>
          <w:sz w:val="26"/>
          <w:szCs w:val="26"/>
        </w:rPr>
        <w:t xml:space="preserve">Product Demand Segments &amp; Stocking Strategy</w:t>
      </w:r>
    </w:p>
    <w:p>
      <w:pPr>
        <w:spacing w:after="110"/>
      </w:pPr>
      <w:r>
        <w:rPr>
          <w:sz w:val="21"/>
          <w:szCs w:val="21"/>
        </w:rPr>
        <w:t xml:space="preserve">Every product sub-category was grouped into one of four demand patterns based on total sales, growth trend, volatility, and typical order value:</w:t>
      </w:r>
    </w:p>
    <w:p>
      <w:pPr>
        <w:pStyle w:val="ListParagraph"/>
        <w:numPr>
          <w:ilvl w:val="0"/>
          <w:numId w:val="1"/>
        </w:numPr>
        <w:spacing w:after="70"/>
      </w:pPr>
      <w:r>
        <w:rPr>
          <w:sz w:val="21"/>
          <w:szCs w:val="21"/>
        </w:rPr>
        <w:t xml:space="preserve">High Volume, Stable Demand (Accessories, Binders, Chairs, Storage, Phones, Tables): the revenue backbone. Keep steady stock levels with standard reorder rules — no need for constant re-forecasting.</w:t>
      </w:r>
    </w:p>
    <w:p>
      <w:pPr>
        <w:pStyle w:val="ListParagraph"/>
        <w:numPr>
          <w:ilvl w:val="0"/>
          <w:numId w:val="1"/>
        </w:numPr>
        <w:spacing w:after="70"/>
      </w:pPr>
      <w:r>
        <w:rPr>
          <w:sz w:val="21"/>
          <w:szCs w:val="21"/>
        </w:rPr>
        <w:t xml:space="preserve">Growing Demand, Niche/High-Ticket (Copiers): strong upward trend on big-ticket items. Track monthly and lean toward ordering ahead of demand, though order volume is thin enough that this trend should be watched, not over-committed to.</w:t>
      </w:r>
    </w:p>
    <w:p>
      <w:pPr>
        <w:pStyle w:val="ListParagraph"/>
        <w:numPr>
          <w:ilvl w:val="0"/>
          <w:numId w:val="1"/>
        </w:numPr>
        <w:spacing w:after="70"/>
      </w:pPr>
      <w:r>
        <w:rPr>
          <w:sz w:val="21"/>
          <w:szCs w:val="21"/>
        </w:rPr>
        <w:t xml:space="preserve">Low Volume, Stable Demand (Appliances, Art, Bookcases, Envelopes, Fasteners, Furnishings, Labels, Paper, Supplies): low risk, low volatility. Lean, infrequent restocking is appropriate — minimal safety stock needed.</w:t>
      </w:r>
    </w:p>
    <w:p>
      <w:pPr>
        <w:pStyle w:val="ListParagraph"/>
        <w:numPr>
          <w:ilvl w:val="0"/>
          <w:numId w:val="1"/>
        </w:numPr>
        <w:spacing w:after="70"/>
      </w:pPr>
      <w:r>
        <w:rPr>
          <w:sz w:val="21"/>
          <w:szCs w:val="21"/>
        </w:rPr>
        <w:t xml:space="preserve">Declining Demand, High Volatility (Machines): the highest-risk group — sales are both falling and unpredictable. Recommend reducing standing inventory and shifting to order-as-needed to avoid overstock.</w:t>
      </w:r>
    </w:p>
    <w:p>
      <w:pPr>
        <w:pStyle w:val="Heading1"/>
        <w:spacing w:after="100" w:before="220"/>
      </w:pPr>
      <w:r>
        <w:rPr>
          <w:b/>
          <w:bCs/>
          <w:color w:val="1F2D50"/>
          <w:sz w:val="26"/>
          <w:szCs w:val="26"/>
        </w:rPr>
        <w:t xml:space="preserve">Business Recommendations</w:t>
      </w:r>
    </w:p>
    <w:p>
      <w:pPr>
        <w:pStyle w:val="ListParagraph"/>
        <w:numPr>
          <w:ilvl w:val="0"/>
          <w:numId w:val="1"/>
        </w:numPr>
        <w:spacing w:after="70"/>
      </w:pPr>
      <w:r>
        <w:rPr>
          <w:b w:val="false"/>
          <w:bCs w:val="false"/>
          <w:sz w:val="21"/>
          <w:szCs w:val="21"/>
        </w:rPr>
        <w:t xml:space="preserve">1. Shift regional investment attention toward the East region. While West remains the largest region today, East has shown the steadiest, most reliable growth (+20%, +17%, +18% year-over-year) and its forecasted early-2019 growth (+143% vs. the same months last year) outpaces every other region and category measured. This is a stronger long-term growth signal than West's larger current size.</w:t>
      </w:r>
    </w:p>
    <w:p>
      <w:pPr>
        <w:pStyle w:val="ListParagraph"/>
        <w:numPr>
          <w:ilvl w:val="0"/>
          <w:numId w:val="1"/>
        </w:numPr>
        <w:spacing w:after="70"/>
      </w:pPr>
      <w:r>
        <w:rPr>
          <w:sz w:val="21"/>
          <w:szCs w:val="21"/>
        </w:rPr>
        <w:t xml:space="preserve">2. Build seasonal staffing and inventory plans around the confirmed September–November surge and January–February trough, rather than a flat monthly plan. This pattern held in all four years without exception, so it is a safe basis for advance planning, not a guess.</w:t>
      </w:r>
    </w:p>
    <w:p>
      <w:pPr>
        <w:pStyle w:val="ListParagraph"/>
        <w:numPr>
          <w:ilvl w:val="0"/>
          <w:numId w:val="1"/>
        </w:numPr>
        <w:spacing w:after="70"/>
      </w:pPr>
      <w:r>
        <w:rPr>
          <w:sz w:val="21"/>
          <w:szCs w:val="21"/>
        </w:rPr>
        <w:t xml:space="preserve">3. Apply the four-tier stocking strategy above by sub-category rather than a blanket policy. Machines in particular (declining and volatile) should have inventory levels actively reduced — continuing to stock it like a stable product ties up capital in a segment that is shrinking.</w:t>
      </w:r>
    </w:p>
    <w:p>
      <w:pPr>
        <w:pStyle w:val="Heading1"/>
        <w:spacing w:after="100" w:before="220"/>
      </w:pPr>
      <w:r>
        <w:rPr>
          <w:b/>
          <w:bCs/>
          <w:color w:val="1F2D50"/>
          <w:sz w:val="26"/>
          <w:szCs w:val="26"/>
        </w:rPr>
        <w:t xml:space="preserve">Risk &amp; Limitation</w:t>
      </w:r>
    </w:p>
    <w:p>
      <w:pPr>
        <w:spacing w:after="110"/>
      </w:pPr>
      <w:r>
        <w:rPr>
          <w:sz w:val="21"/>
          <w:szCs w:val="21"/>
        </w:rPr>
        <w:t xml:space="preserve">This entire forecasting system is built on only four years of monthly data (48 data points). That is enough to detect a clear seasonal pattern reliably, but it is a thin basis for precise month-by-month dollar forecasts — as shown by Month 2's forecast range technically dipping below zero. Treat the specific forecasted numbers as directional planning guides, not guarantees, and re-run this analysis as new months of real sales data become available; the model will only get more reliable with more history behind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2026-07-09T11:11:02.695Z</dcterms:created>
  <dcterms:modified xsi:type="dcterms:W3CDTF">2026-07-09T11:11:02.696Z</dcterms:modified>
</cp:coreProperties>
</file>

<file path=docProps/custom.xml><?xml version="1.0" encoding="utf-8"?>
<Properties xmlns="http://schemas.openxmlformats.org/officeDocument/2006/custom-properties" xmlns:vt="http://schemas.openxmlformats.org/officeDocument/2006/docPropsVTypes"/>
</file>