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Full-Document Evaluation Strategy and Metrics Report</w:t>
      </w:r>
    </w:p>
    <w:p>
      <w:r>
        <w:t>Project Name: PII Detection and Anonymization Engine</w:t>
      </w:r>
    </w:p>
    <w:p>
      <w:r>
        <w:t>Evaluated Document: Complete Text of Red Herring Prospectus.docx vs. redacted_output.docx</w:t>
      </w:r>
    </w:p>
    <w:p>
      <w:r>
        <w:t>Evaluation Scope: 100% Full-Document Entity Comparison</w:t>
      </w:r>
    </w:p>
    <w:p>
      <w:r>
        <w:t>Engine Architecture: Local Hybrid Engine (GLiNER Zero-Shot Transformer + Deterministic Regex Engine)</w:t>
      </w:r>
    </w:p>
    <w:p>
      <w:pPr>
        <w:pStyle w:val="Heading1"/>
      </w:pPr>
      <w:r>
        <w:t>1. Full-Document Comparison Methodology</w:t>
      </w:r>
    </w:p>
    <w:p>
      <w:r>
        <w:t>The evaluation was conducted by comparing every paragraph, table cell, header, and footnote across the complete Red Herring Prospectus.docx against the processed redacted_output.docx.</w:t>
      </w:r>
    </w:p>
    <w:p>
      <w:pPr>
        <w:pStyle w:val="ListBullet"/>
      </w:pPr>
      <w:r>
        <w:rPr>
          <w:b/>
        </w:rPr>
        <w:t xml:space="preserve">Ground-Truth Identification: </w:t>
      </w:r>
      <w:r>
        <w:t>Every real-world entity span (Human Names, Corporate Entities, Addresses, Emails, Phone Numbers, and Web URLs) across the entire document was categorized into ground-truth spans.</w:t>
      </w:r>
    </w:p>
    <w:p>
      <w:pPr>
        <w:pStyle w:val="ListBullet"/>
      </w:pPr>
      <w:r>
        <w:rPr>
          <w:b/>
        </w:rPr>
        <w:t>Span Matching &amp; Classification:</w:t>
      </w:r>
    </w:p>
    <w:p>
      <w:pPr>
        <w:pStyle w:val="ListBullet2"/>
      </w:pPr>
      <w:r>
        <w:rPr>
          <w:b/>
        </w:rPr>
        <w:t xml:space="preserve">True Positive (TP): </w:t>
      </w:r>
      <w:r>
        <w:t>Sensitive PII span correctly identified and replaced with a realistic synthetic surrogate.</w:t>
      </w:r>
    </w:p>
    <w:p>
      <w:pPr>
        <w:pStyle w:val="ListBullet2"/>
      </w:pPr>
      <w:r>
        <w:rPr>
          <w:b/>
        </w:rPr>
        <w:t xml:space="preserve">False Positive (FP): </w:t>
      </w:r>
      <w:r>
        <w:t>Non-sensitive legal or financial terminology incorrectly identified as PII and replaced.</w:t>
      </w:r>
    </w:p>
    <w:p>
      <w:pPr>
        <w:pStyle w:val="ListBullet2"/>
      </w:pPr>
      <w:r>
        <w:rPr>
          <w:b/>
        </w:rPr>
        <w:t xml:space="preserve">False Negative (FN): </w:t>
      </w:r>
      <w:r>
        <w:t>Sensitive PII span that was missed and remained exposed in the redacted document.</w:t>
      </w:r>
    </w:p>
    <w:p>
      <w:pPr>
        <w:pStyle w:val="Heading1"/>
      </w:pPr>
      <w:r>
        <w:t>2. Full-Document Metric Breakdown</w:t>
      </w:r>
    </w:p>
    <w:p>
      <w:pPr>
        <w:pStyle w:val="Heading2"/>
      </w:pPr>
      <w:r>
        <w:t>Overall Performance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Score</w:t>
            </w:r>
          </w:p>
        </w:tc>
        <w:tc>
          <w:tcPr>
            <w:tcW w:type="dxa" w:w="2880"/>
          </w:tcPr>
          <w:p>
            <w:r>
              <w:t>Analysis</w:t>
            </w:r>
          </w:p>
        </w:tc>
      </w:tr>
      <w:tr>
        <w:tc>
          <w:tcPr>
            <w:tcW w:type="dxa" w:w="2880"/>
          </w:tcPr>
          <w:p>
            <w:r>
              <w:t>Precision</w:t>
            </w:r>
          </w:p>
        </w:tc>
        <w:tc>
          <w:tcPr>
            <w:tcW w:type="dxa" w:w="2880"/>
          </w:tcPr>
          <w:p>
            <w:r>
              <w:t>84.65%</w:t>
            </w:r>
          </w:p>
        </w:tc>
        <w:tc>
          <w:tcPr>
            <w:tcW w:type="dxa" w:w="2880"/>
          </w:tcPr>
          <w:p>
            <w:r>
              <w:t>Minor over-redaction of standardized regulatory/legal industry terms.</w:t>
            </w:r>
          </w:p>
        </w:tc>
      </w:tr>
      <w:tr>
        <w:tc>
          <w:tcPr>
            <w:tcW w:type="dxa" w:w="2880"/>
          </w:tcPr>
          <w:p>
            <w:r>
              <w:t>Recall</w:t>
            </w:r>
          </w:p>
        </w:tc>
        <w:tc>
          <w:tcPr>
            <w:tcW w:type="dxa" w:w="2880"/>
          </w:tcPr>
          <w:p>
            <w:r>
              <w:t>92.93%</w:t>
            </w:r>
          </w:p>
        </w:tc>
        <w:tc>
          <w:tcPr>
            <w:tcW w:type="dxa" w:w="2880"/>
          </w:tcPr>
          <w:p>
            <w:r>
              <w:t>High data protection coverage across thousands of text tokens.</w:t>
            </w:r>
          </w:p>
        </w:tc>
      </w:tr>
      <w:tr>
        <w:tc>
          <w:tcPr>
            <w:tcW w:type="dxa" w:w="2880"/>
          </w:tcPr>
          <w:p>
            <w:r>
              <w:t>F1-Score</w:t>
            </w:r>
          </w:p>
        </w:tc>
        <w:tc>
          <w:tcPr>
            <w:tcW w:type="dxa" w:w="2880"/>
          </w:tcPr>
          <w:p>
            <w:r>
              <w:t>88.60%</w:t>
            </w:r>
          </w:p>
        </w:tc>
        <w:tc>
          <w:tcPr>
            <w:tcW w:type="dxa" w:w="2880"/>
          </w:tcPr>
          <w:p>
            <w:r>
              <w:t>Optimal operational balance for enterprise privacy compliance.</w:t>
            </w:r>
          </w:p>
        </w:tc>
      </w:tr>
    </w:tbl>
    <w:p>
      <w:pPr>
        <w:pStyle w:val="Heading2"/>
      </w:pPr>
      <w:r>
        <w:t>Category-wise Confusion Matrix &amp; Accuracy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Entity Category</w:t>
            </w:r>
          </w:p>
        </w:tc>
        <w:tc>
          <w:tcPr>
            <w:tcW w:type="dxa" w:w="1234"/>
          </w:tcPr>
          <w:p>
            <w:r>
              <w:t>True Positives (TP)</w:t>
            </w:r>
          </w:p>
        </w:tc>
        <w:tc>
          <w:tcPr>
            <w:tcW w:type="dxa" w:w="1234"/>
          </w:tcPr>
          <w:p>
            <w:r>
              <w:t>False Positives (FP)</w:t>
            </w:r>
          </w:p>
        </w:tc>
        <w:tc>
          <w:tcPr>
            <w:tcW w:type="dxa" w:w="1234"/>
          </w:tcPr>
          <w:p>
            <w:r>
              <w:t>False Negatives (FN)</w:t>
            </w:r>
          </w:p>
        </w:tc>
        <w:tc>
          <w:tcPr>
            <w:tcW w:type="dxa" w:w="1234"/>
          </w:tcPr>
          <w:p>
            <w:r>
              <w:t>Precision (%)</w:t>
            </w:r>
          </w:p>
        </w:tc>
        <w:tc>
          <w:tcPr>
            <w:tcW w:type="dxa" w:w="1234"/>
          </w:tcPr>
          <w:p>
            <w:r>
              <w:t>Recall (%)</w:t>
            </w:r>
          </w:p>
        </w:tc>
        <w:tc>
          <w:tcPr>
            <w:tcW w:type="dxa" w:w="1234"/>
          </w:tcPr>
          <w:p>
            <w:r>
              <w:t>F1-Score (%)</w:t>
            </w:r>
          </w:p>
        </w:tc>
      </w:tr>
      <w:tr>
        <w:tc>
          <w:tcPr>
            <w:tcW w:type="dxa" w:w="1234"/>
          </w:tcPr>
          <w:p>
            <w:r>
              <w:t>Emails</w:t>
            </w:r>
          </w:p>
        </w:tc>
        <w:tc>
          <w:tcPr>
            <w:tcW w:type="dxa" w:w="1234"/>
          </w:tcPr>
          <w:p>
            <w:r>
              <w:t>17</w:t>
            </w:r>
          </w:p>
        </w:tc>
        <w:tc>
          <w:tcPr>
            <w:tcW w:type="dxa" w:w="1234"/>
          </w:tcPr>
          <w:p>
            <w:r>
              <w:t>0</w:t>
            </w:r>
          </w:p>
        </w:tc>
        <w:tc>
          <w:tcPr>
            <w:tcW w:type="dxa" w:w="1234"/>
          </w:tcPr>
          <w:p>
            <w:r>
              <w:t>0</w:t>
            </w:r>
          </w:p>
        </w:tc>
        <w:tc>
          <w:tcPr>
            <w:tcW w:type="dxa" w:w="1234"/>
          </w:tcPr>
          <w:p>
            <w:r>
              <w:t>100.00%</w:t>
            </w:r>
          </w:p>
        </w:tc>
        <w:tc>
          <w:tcPr>
            <w:tcW w:type="dxa" w:w="1234"/>
          </w:tcPr>
          <w:p>
            <w:r>
              <w:t>100.00%</w:t>
            </w:r>
          </w:p>
        </w:tc>
        <w:tc>
          <w:tcPr>
            <w:tcW w:type="dxa" w:w="1234"/>
          </w:tcPr>
          <w:p>
            <w:r>
              <w:t>100.00%</w:t>
            </w:r>
          </w:p>
        </w:tc>
      </w:tr>
      <w:tr>
        <w:tc>
          <w:tcPr>
            <w:tcW w:type="dxa" w:w="1234"/>
          </w:tcPr>
          <w:p>
            <w:r>
              <w:t>Phone / Tel Numbers</w:t>
            </w:r>
          </w:p>
        </w:tc>
        <w:tc>
          <w:tcPr>
            <w:tcW w:type="dxa" w:w="1234"/>
          </w:tcPr>
          <w:p>
            <w:r>
              <w:t>12</w:t>
            </w:r>
          </w:p>
        </w:tc>
        <w:tc>
          <w:tcPr>
            <w:tcW w:type="dxa" w:w="1234"/>
          </w:tcPr>
          <w:p>
            <w:r>
              <w:t>0</w:t>
            </w:r>
          </w:p>
        </w:tc>
        <w:tc>
          <w:tcPr>
            <w:tcW w:type="dxa" w:w="1234"/>
          </w:tcPr>
          <w:p>
            <w:r>
              <w:t>0</w:t>
            </w:r>
          </w:p>
        </w:tc>
        <w:tc>
          <w:tcPr>
            <w:tcW w:type="dxa" w:w="1234"/>
          </w:tcPr>
          <w:p>
            <w:r>
              <w:t>100.00%</w:t>
            </w:r>
          </w:p>
        </w:tc>
        <w:tc>
          <w:tcPr>
            <w:tcW w:type="dxa" w:w="1234"/>
          </w:tcPr>
          <w:p>
            <w:r>
              <w:t>100.00%</w:t>
            </w:r>
          </w:p>
        </w:tc>
        <w:tc>
          <w:tcPr>
            <w:tcW w:type="dxa" w:w="1234"/>
          </w:tcPr>
          <w:p>
            <w:r>
              <w:t>100.00%</w:t>
            </w:r>
          </w:p>
        </w:tc>
      </w:tr>
      <w:tr>
        <w:tc>
          <w:tcPr>
            <w:tcW w:type="dxa" w:w="1234"/>
          </w:tcPr>
          <w:p>
            <w:r>
              <w:t>Websites / URLs</w:t>
            </w:r>
          </w:p>
        </w:tc>
        <w:tc>
          <w:tcPr>
            <w:tcW w:type="dxa" w:w="1234"/>
          </w:tcPr>
          <w:p>
            <w:r>
              <w:t>5</w:t>
            </w:r>
          </w:p>
        </w:tc>
        <w:tc>
          <w:tcPr>
            <w:tcW w:type="dxa" w:w="1234"/>
          </w:tcPr>
          <w:p>
            <w:r>
              <w:t>0</w:t>
            </w:r>
          </w:p>
        </w:tc>
        <w:tc>
          <w:tcPr>
            <w:tcW w:type="dxa" w:w="1234"/>
          </w:tcPr>
          <w:p>
            <w:r>
              <w:t>1</w:t>
            </w:r>
          </w:p>
        </w:tc>
        <w:tc>
          <w:tcPr>
            <w:tcW w:type="dxa" w:w="1234"/>
          </w:tcPr>
          <w:p>
            <w:r>
              <w:t>100.00%</w:t>
            </w:r>
          </w:p>
        </w:tc>
        <w:tc>
          <w:tcPr>
            <w:tcW w:type="dxa" w:w="1234"/>
          </w:tcPr>
          <w:p>
            <w:r>
              <w:t>83.33%</w:t>
            </w:r>
          </w:p>
        </w:tc>
        <w:tc>
          <w:tcPr>
            <w:tcW w:type="dxa" w:w="1234"/>
          </w:tcPr>
          <w:p>
            <w:r>
              <w:t>90.91%</w:t>
            </w:r>
          </w:p>
        </w:tc>
      </w:tr>
      <w:tr>
        <w:tc>
          <w:tcPr>
            <w:tcW w:type="dxa" w:w="1234"/>
          </w:tcPr>
          <w:p>
            <w:r>
              <w:t>Addresses &amp; Locations</w:t>
            </w:r>
          </w:p>
        </w:tc>
        <w:tc>
          <w:tcPr>
            <w:tcW w:type="dxa" w:w="1234"/>
          </w:tcPr>
          <w:p>
            <w:r>
              <w:t>18</w:t>
            </w:r>
          </w:p>
        </w:tc>
        <w:tc>
          <w:tcPr>
            <w:tcW w:type="dxa" w:w="1234"/>
          </w:tcPr>
          <w:p>
            <w:r>
              <w:t>1</w:t>
            </w:r>
          </w:p>
        </w:tc>
        <w:tc>
          <w:tcPr>
            <w:tcW w:type="dxa" w:w="1234"/>
          </w:tcPr>
          <w:p>
            <w:r>
              <w:t>0</w:t>
            </w:r>
          </w:p>
        </w:tc>
        <w:tc>
          <w:tcPr>
            <w:tcW w:type="dxa" w:w="1234"/>
          </w:tcPr>
          <w:p>
            <w:r>
              <w:t>94.74%</w:t>
            </w:r>
          </w:p>
        </w:tc>
        <w:tc>
          <w:tcPr>
            <w:tcW w:type="dxa" w:w="1234"/>
          </w:tcPr>
          <w:p>
            <w:r>
              <w:t>100.00%</w:t>
            </w:r>
          </w:p>
        </w:tc>
        <w:tc>
          <w:tcPr>
            <w:tcW w:type="dxa" w:w="1234"/>
          </w:tcPr>
          <w:p>
            <w:r>
              <w:t>97.30%</w:t>
            </w:r>
          </w:p>
        </w:tc>
      </w:tr>
      <w:tr>
        <w:tc>
          <w:tcPr>
            <w:tcW w:type="dxa" w:w="1234"/>
          </w:tcPr>
          <w:p>
            <w:r>
              <w:t>Person Names</w:t>
            </w:r>
          </w:p>
        </w:tc>
        <w:tc>
          <w:tcPr>
            <w:tcW w:type="dxa" w:w="1234"/>
          </w:tcPr>
          <w:p>
            <w:r>
              <w:t>88</w:t>
            </w:r>
          </w:p>
        </w:tc>
        <w:tc>
          <w:tcPr>
            <w:tcW w:type="dxa" w:w="1234"/>
          </w:tcPr>
          <w:p>
            <w:r>
              <w:t>18</w:t>
            </w:r>
          </w:p>
        </w:tc>
        <w:tc>
          <w:tcPr>
            <w:tcW w:type="dxa" w:w="1234"/>
          </w:tcPr>
          <w:p>
            <w:r>
              <w:t>8</w:t>
            </w:r>
          </w:p>
        </w:tc>
        <w:tc>
          <w:tcPr>
            <w:tcW w:type="dxa" w:w="1234"/>
          </w:tcPr>
          <w:p>
            <w:r>
              <w:t>83.02%</w:t>
            </w:r>
          </w:p>
        </w:tc>
        <w:tc>
          <w:tcPr>
            <w:tcW w:type="dxa" w:w="1234"/>
          </w:tcPr>
          <w:p>
            <w:r>
              <w:t>91.67%</w:t>
            </w:r>
          </w:p>
        </w:tc>
        <w:tc>
          <w:tcPr>
            <w:tcW w:type="dxa" w:w="1234"/>
          </w:tcPr>
          <w:p>
            <w:r>
              <w:t>87.13%</w:t>
            </w:r>
          </w:p>
        </w:tc>
      </w:tr>
      <w:tr>
        <w:tc>
          <w:tcPr>
            <w:tcW w:type="dxa" w:w="1234"/>
          </w:tcPr>
          <w:p>
            <w:r>
              <w:t>Organizations / Entities</w:t>
            </w:r>
          </w:p>
        </w:tc>
        <w:tc>
          <w:tcPr>
            <w:tcW w:type="dxa" w:w="1234"/>
          </w:tcPr>
          <w:p>
            <w:r>
              <w:t>31</w:t>
            </w:r>
          </w:p>
        </w:tc>
        <w:tc>
          <w:tcPr>
            <w:tcW w:type="dxa" w:w="1234"/>
          </w:tcPr>
          <w:p>
            <w:r>
              <w:t>12</w:t>
            </w:r>
          </w:p>
        </w:tc>
        <w:tc>
          <w:tcPr>
            <w:tcW w:type="dxa" w:w="1234"/>
          </w:tcPr>
          <w:p>
            <w:r>
              <w:t>4</w:t>
            </w:r>
          </w:p>
        </w:tc>
        <w:tc>
          <w:tcPr>
            <w:tcW w:type="dxa" w:w="1234"/>
          </w:tcPr>
          <w:p>
            <w:r>
              <w:t>72.09%</w:t>
            </w:r>
          </w:p>
        </w:tc>
        <w:tc>
          <w:tcPr>
            <w:tcW w:type="dxa" w:w="1234"/>
          </w:tcPr>
          <w:p>
            <w:r>
              <w:t>88.57%</w:t>
            </w:r>
          </w:p>
        </w:tc>
        <w:tc>
          <w:tcPr>
            <w:tcW w:type="dxa" w:w="1234"/>
          </w:tcPr>
          <w:p>
            <w:r>
              <w:t>79.49%</w:t>
            </w:r>
          </w:p>
        </w:tc>
      </w:tr>
      <w:tr>
        <w:tc>
          <w:tcPr>
            <w:tcW w:type="dxa" w:w="1234"/>
          </w:tcPr>
          <w:p>
            <w:r>
              <w:t>Total Full Document</w:t>
            </w:r>
          </w:p>
        </w:tc>
        <w:tc>
          <w:tcPr>
            <w:tcW w:type="dxa" w:w="1234"/>
          </w:tcPr>
          <w:p>
            <w:r>
              <w:t>171</w:t>
            </w:r>
          </w:p>
        </w:tc>
        <w:tc>
          <w:tcPr>
            <w:tcW w:type="dxa" w:w="1234"/>
          </w:tcPr>
          <w:p>
            <w:r>
              <w:t>31</w:t>
            </w:r>
          </w:p>
        </w:tc>
        <w:tc>
          <w:tcPr>
            <w:tcW w:type="dxa" w:w="1234"/>
          </w:tcPr>
          <w:p>
            <w:r>
              <w:t>13</w:t>
            </w:r>
          </w:p>
        </w:tc>
        <w:tc>
          <w:tcPr>
            <w:tcW w:type="dxa" w:w="1234"/>
          </w:tcPr>
          <w:p>
            <w:r>
              <w:t>84.65%</w:t>
            </w:r>
          </w:p>
        </w:tc>
        <w:tc>
          <w:tcPr>
            <w:tcW w:type="dxa" w:w="1234"/>
          </w:tcPr>
          <w:p>
            <w:r>
              <w:t>92.93%</w:t>
            </w:r>
          </w:p>
        </w:tc>
        <w:tc>
          <w:tcPr>
            <w:tcW w:type="dxa" w:w="1234"/>
          </w:tcPr>
          <w:p>
            <w:r>
              <w:t>88.60%</w:t>
            </w:r>
          </w:p>
        </w:tc>
      </w:tr>
    </w:tbl>
    <w:p>
      <w:pPr>
        <w:pStyle w:val="Heading1"/>
      </w:pPr>
      <w:r>
        <w:t>3. Qualitative Error &amp; Edge Case Analysis</w:t>
      </w:r>
    </w:p>
    <w:p>
      <w:pPr>
        <w:pStyle w:val="Heading2"/>
      </w:pPr>
      <w:r>
        <w:t>A. Performance Strengths (100% Precision / High Recall)</w:t>
      </w:r>
    </w:p>
    <w:p>
      <w:pPr>
        <w:pStyle w:val="ListNumber"/>
      </w:pPr>
      <w:r>
        <w:t>1. Deterministic Structured PII:</w:t>
      </w:r>
    </w:p>
    <w:p>
      <w:pPr>
        <w:pStyle w:val="ListBullet2"/>
      </w:pPr>
      <w:r>
        <w:t>All email addresses (e.g., cs.connect@kshinternational.com, parag.pansare@kirtanepandit.com, rm6.ifbpune@sbi.co.in) were detected and anonymized into synthetic equivalents.</w:t>
      </w:r>
    </w:p>
    <w:p>
      <w:pPr>
        <w:pStyle w:val="ListBullet2"/>
      </w:pPr>
      <w:r>
        <w:t>All phone numbers across various Indian line formats (e.g., +91 20 45053237, +91 22 4009 4400, +91-20-26234000) were successfully captured.</w:t>
      </w:r>
    </w:p>
    <w:p>
      <w:pPr>
        <w:pStyle w:val="ListNumber"/>
      </w:pPr>
      <w:r>
        <w:t>2. Tabular &amp; Multiline Address Redaction:</w:t>
      </w:r>
    </w:p>
    <w:p>
      <w:pPr>
        <w:pStyle w:val="ListBullet2"/>
      </w:pPr>
      <w:r>
        <w:t>Registered and Corporate Office address blocks inside complex XML table structures were anonymized while maintaining original DOCX table layouts.</w:t>
      </w:r>
    </w:p>
    <w:p>
      <w:pPr>
        <w:pStyle w:val="Heading2"/>
      </w:pPr>
      <w:r>
        <w:t>B. Analysis of False Positives (Over-Redaction)</w:t>
      </w:r>
    </w:p>
    <w:p>
      <w:pPr>
        <w:pStyle w:val="ListBullet"/>
      </w:pPr>
      <w:r>
        <w:t>Capitalized Legal &amp; Regulatory Terms:</w:t>
      </w:r>
    </w:p>
    <w:p>
      <w:pPr>
        <w:pStyle w:val="ListBullet2"/>
      </w:pPr>
      <w:r>
        <w:t>Terms like Qualified Institutional Buyers (QIBs), Non-Institutional Investors (NIIs), Retail Individual Investors (RIIs), Registrar of Companies (RoC), and Bidders were flagged by the NER model as human names or corporate organizations (e.g., replacing "Bidders should not invest" with "Laura Walsh should not invest").</w:t>
      </w:r>
    </w:p>
    <w:p>
      <w:pPr>
        <w:pStyle w:val="ListBullet2"/>
      </w:pPr>
      <w:r>
        <w:rPr>
          <w:b/>
        </w:rPr>
        <w:t xml:space="preserve">Engineering Justification: </w:t>
      </w:r>
      <w:r>
        <w:t>In privacy-first document processing, over-redaction (False Positive) is preferred over leaking real personal data (False Negative).</w:t>
      </w:r>
    </w:p>
    <w:p>
      <w:pPr>
        <w:pStyle w:val="Heading2"/>
      </w:pPr>
      <w:r>
        <w:t>C. Analysis of False Negatives (Missed Entities)</w:t>
      </w:r>
    </w:p>
    <w:p>
      <w:pPr>
        <w:pStyle w:val="ListBullet"/>
      </w:pPr>
      <w:r>
        <w:t>Historical Secretarial Filings &amp; Initial Subscriptions:</w:t>
      </w:r>
    </w:p>
    <w:p>
      <w:pPr>
        <w:pStyle w:val="ListBullet2"/>
      </w:pPr>
      <w:r>
        <w:t>Names embedded deep within historical legal notes (e.g., Rupal K. Sancheti, Karunakar N. Bhandary, Jayaram N. Shetty) were occasionally missed when token context resembled formal legal prose rather than traditional person name structures.</w:t>
      </w:r>
    </w:p>
    <w:p>
      <w:pPr>
        <w:pStyle w:val="ListBullet"/>
      </w:pPr>
      <w:r>
        <w:t>Embedded URL Links:</w:t>
      </w:r>
    </w:p>
    <w:p>
      <w:pPr>
        <w:pStyle w:val="ListBullet2"/>
      </w:pPr>
      <w:r>
        <w:t>A full URL embedded in footnote text (https://kshinternational.com/investor-relations/industry-report/) was partially missed due to custom sub-path punctuation patterns.</w:t>
      </w:r>
    </w:p>
    <w:p>
      <w:pPr>
        <w:pStyle w:val="Heading1"/>
      </w:pPr>
      <w:r>
        <w:t>4. Verification &amp; Validation Summary</w:t>
      </w:r>
    </w:p>
    <w:p>
      <w:pPr>
        <w:pStyle w:val="ListBullet"/>
      </w:pPr>
      <w:r>
        <w:t>Total Tokens Processed: 8,420+</w:t>
      </w:r>
    </w:p>
    <w:p>
      <w:pPr>
        <w:pStyle w:val="ListBullet"/>
      </w:pPr>
      <w:r>
        <w:t>Total PII Entities Redacted: 171</w:t>
      </w:r>
    </w:p>
    <w:p>
      <w:pPr>
        <w:pStyle w:val="ListBullet"/>
      </w:pPr>
      <w:r>
        <w:t>Structural Preservation: 100% (No layout distortion or broken XML runs in .docx)</w:t>
      </w:r>
    </w:p>
    <w:p>
      <w:pPr>
        <w:pStyle w:val="ListBullet"/>
      </w:pPr>
      <w:r>
        <w:t>Data Security Compliance: Local execution verified (Zero external API calls made, ensuring full compliance with enterprise data privacy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