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3A7A" w:rsidRPr="001F3A7A" w:rsidRDefault="001F3A7A" w:rsidP="00306ECA">
      <w:pPr>
        <w:spacing w:line="360" w:lineRule="auto"/>
        <w:jc w:val="center"/>
        <w:rPr>
          <w:u w:val="single"/>
        </w:rPr>
      </w:pPr>
      <w:r w:rsidRPr="001F3A7A">
        <w:rPr>
          <w:u w:val="single"/>
        </w:rPr>
        <w:t>JUDGEMENT REWRITING</w:t>
      </w:r>
    </w:p>
    <w:p w:rsidR="001F3A7A" w:rsidRDefault="002F2F0A" w:rsidP="00306ECA">
      <w:pPr>
        <w:spacing w:line="360" w:lineRule="auto"/>
        <w:jc w:val="center"/>
        <w:rPr>
          <w:b/>
        </w:rPr>
      </w:pPr>
      <w:r w:rsidRPr="002F2F0A">
        <w:rPr>
          <w:rFonts w:cs="Times New Roman"/>
          <w:b/>
          <w:iCs/>
          <w:szCs w:val="24"/>
          <w:lang w:val="en-IN"/>
        </w:rPr>
        <w:t xml:space="preserve">MATHAI </w:t>
      </w:r>
      <w:proofErr w:type="spellStart"/>
      <w:r w:rsidRPr="002F2F0A">
        <w:rPr>
          <w:rFonts w:cs="Times New Roman"/>
          <w:b/>
          <w:iCs/>
          <w:szCs w:val="24"/>
          <w:lang w:val="en-IN"/>
        </w:rPr>
        <w:t>MATHAI</w:t>
      </w:r>
      <w:proofErr w:type="spellEnd"/>
      <w:r w:rsidRPr="002F2F0A">
        <w:rPr>
          <w:rFonts w:cs="Times New Roman"/>
          <w:b/>
          <w:iCs/>
          <w:szCs w:val="24"/>
          <w:lang w:val="en-IN"/>
        </w:rPr>
        <w:t xml:space="preserve"> </w:t>
      </w:r>
      <w:r w:rsidRPr="002F2F0A">
        <w:rPr>
          <w:rFonts w:cs="Times New Roman"/>
          <w:b/>
          <w:szCs w:val="24"/>
          <w:lang w:val="en-IN"/>
        </w:rPr>
        <w:t xml:space="preserve">v. </w:t>
      </w:r>
      <w:r w:rsidRPr="002F2F0A">
        <w:rPr>
          <w:rFonts w:cs="Times New Roman"/>
          <w:b/>
          <w:iCs/>
          <w:szCs w:val="24"/>
          <w:lang w:val="en-IN"/>
        </w:rPr>
        <w:t>JOSEPH MARY</w:t>
      </w:r>
      <w:r w:rsidR="001F3A7A">
        <w:rPr>
          <w:rStyle w:val="FootnoteReference"/>
          <w:b/>
        </w:rPr>
        <w:footnoteReference w:id="1"/>
      </w:r>
    </w:p>
    <w:p w:rsidR="00741D0D" w:rsidRPr="001F3A7A" w:rsidRDefault="00741D0D" w:rsidP="00306ECA">
      <w:pPr>
        <w:spacing w:line="360" w:lineRule="auto"/>
        <w:jc w:val="center"/>
        <w:rPr>
          <w:b/>
        </w:rPr>
      </w:pPr>
    </w:p>
    <w:p w:rsidR="001F3A7A" w:rsidRDefault="001F3A7A" w:rsidP="00306ECA">
      <w:pPr>
        <w:spacing w:line="360" w:lineRule="auto"/>
        <w:jc w:val="center"/>
      </w:pPr>
      <w:r>
        <w:rPr>
          <w:b/>
        </w:rPr>
        <w:t>SUBJECT: LAW OF CONTRACT</w:t>
      </w:r>
    </w:p>
    <w:p w:rsidR="001F3A7A" w:rsidRPr="00DA1342" w:rsidRDefault="00741D0D" w:rsidP="00306ECA">
      <w:pPr>
        <w:spacing w:line="360" w:lineRule="auto"/>
        <w:jc w:val="center"/>
      </w:pPr>
      <w:r>
        <w:rPr>
          <w:noProof/>
          <w:lang w:val="en-IN" w:eastAsia="en-IN"/>
        </w:rPr>
        <w:drawing>
          <wp:anchor distT="0" distB="0" distL="114300" distR="114300" simplePos="0" relativeHeight="251659264" behindDoc="1" locked="0" layoutInCell="1" allowOverlap="1" wp14:anchorId="4D61D8D5" wp14:editId="3DC847EF">
            <wp:simplePos x="0" y="0"/>
            <wp:positionH relativeFrom="column">
              <wp:posOffset>1481552</wp:posOffset>
            </wp:positionH>
            <wp:positionV relativeFrom="paragraph">
              <wp:posOffset>276030</wp:posOffset>
            </wp:positionV>
            <wp:extent cx="2596662" cy="2596662"/>
            <wp:effectExtent l="0" t="0" r="0" b="0"/>
            <wp:wrapNone/>
            <wp:docPr id="2" name="Picture 2" descr="NALSAR logo – THE LEGAL PEE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ALSAR logo – THE LEGAL PEEP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6662" cy="2596662"/>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F3A7A" w:rsidRPr="00DA1342" w:rsidRDefault="001F3A7A" w:rsidP="00306ECA">
      <w:pPr>
        <w:spacing w:line="360" w:lineRule="auto"/>
        <w:jc w:val="center"/>
      </w:pPr>
    </w:p>
    <w:p w:rsidR="001F3A7A" w:rsidRPr="00DA1342" w:rsidRDefault="001F3A7A" w:rsidP="00306ECA">
      <w:pPr>
        <w:spacing w:line="360" w:lineRule="auto"/>
        <w:jc w:val="center"/>
      </w:pPr>
    </w:p>
    <w:p w:rsidR="001F3A7A" w:rsidRPr="00DA1342" w:rsidRDefault="001F3A7A" w:rsidP="00306ECA">
      <w:pPr>
        <w:spacing w:line="360" w:lineRule="auto"/>
        <w:jc w:val="center"/>
      </w:pPr>
    </w:p>
    <w:p w:rsidR="001F3A7A" w:rsidRPr="00DA1342" w:rsidRDefault="001F3A7A" w:rsidP="00306ECA">
      <w:pPr>
        <w:spacing w:line="360" w:lineRule="auto"/>
        <w:jc w:val="center"/>
      </w:pPr>
    </w:p>
    <w:p w:rsidR="001F3A7A" w:rsidRPr="00DA1342" w:rsidRDefault="001F3A7A" w:rsidP="00306ECA">
      <w:pPr>
        <w:spacing w:line="360" w:lineRule="auto"/>
        <w:jc w:val="center"/>
      </w:pPr>
    </w:p>
    <w:p w:rsidR="001F3A7A" w:rsidRPr="00DA1342" w:rsidRDefault="001F3A7A" w:rsidP="00306ECA">
      <w:pPr>
        <w:spacing w:line="360" w:lineRule="auto"/>
        <w:jc w:val="center"/>
      </w:pPr>
    </w:p>
    <w:p w:rsidR="001F3A7A" w:rsidRPr="00DA1342" w:rsidRDefault="001F3A7A" w:rsidP="00306ECA">
      <w:pPr>
        <w:spacing w:line="360" w:lineRule="auto"/>
        <w:jc w:val="center"/>
      </w:pPr>
    </w:p>
    <w:p w:rsidR="001F3A7A" w:rsidRPr="00DA1342" w:rsidRDefault="001F3A7A" w:rsidP="00306ECA">
      <w:pPr>
        <w:spacing w:line="360" w:lineRule="auto"/>
        <w:jc w:val="center"/>
      </w:pPr>
    </w:p>
    <w:p w:rsidR="001F3A7A" w:rsidRPr="00DA1342" w:rsidRDefault="001F3A7A" w:rsidP="00306ECA">
      <w:pPr>
        <w:tabs>
          <w:tab w:val="left" w:pos="1980"/>
        </w:tabs>
        <w:spacing w:line="360" w:lineRule="auto"/>
        <w:jc w:val="center"/>
        <w:rPr>
          <w:b/>
        </w:rPr>
      </w:pPr>
      <w:r w:rsidRPr="00DA1342">
        <w:rPr>
          <w:b/>
        </w:rPr>
        <w:t>SUBMITTED TO:</w:t>
      </w:r>
    </w:p>
    <w:p w:rsidR="001F3A7A" w:rsidRDefault="001F3A7A" w:rsidP="00306ECA">
      <w:pPr>
        <w:tabs>
          <w:tab w:val="left" w:pos="1980"/>
        </w:tabs>
        <w:spacing w:line="360" w:lineRule="auto"/>
        <w:jc w:val="center"/>
        <w:rPr>
          <w:rFonts w:ascii="Goudy Old Style Regular" w:hAnsi="Goudy Old Style Regular"/>
          <w:color w:val="2C2C2C"/>
          <w:shd w:val="clear" w:color="auto" w:fill="FFFFFF"/>
        </w:rPr>
      </w:pPr>
      <w:r>
        <w:rPr>
          <w:rFonts w:ascii="Goudy Old Style Regular" w:hAnsi="Goudy Old Style Regular"/>
          <w:color w:val="2C2C2C"/>
          <w:shd w:val="clear" w:color="auto" w:fill="FFFFFF"/>
        </w:rPr>
        <w:t>DR. RAJESH KAPOOR</w:t>
      </w:r>
    </w:p>
    <w:p w:rsidR="001F3A7A" w:rsidRDefault="001F3A7A" w:rsidP="00306ECA">
      <w:pPr>
        <w:tabs>
          <w:tab w:val="left" w:pos="1980"/>
        </w:tabs>
        <w:spacing w:line="360" w:lineRule="auto"/>
        <w:jc w:val="center"/>
        <w:rPr>
          <w:b/>
          <w:smallCaps/>
          <w:color w:val="000000"/>
          <w:sz w:val="28"/>
          <w:szCs w:val="28"/>
        </w:rPr>
      </w:pPr>
      <w:r w:rsidRPr="00DA1342">
        <w:rPr>
          <w:b/>
          <w:smallCaps/>
          <w:color w:val="000000"/>
          <w:sz w:val="28"/>
          <w:szCs w:val="28"/>
        </w:rPr>
        <w:t>Submitted BY:</w:t>
      </w:r>
    </w:p>
    <w:p w:rsidR="001F3A7A" w:rsidRDefault="001F3A7A" w:rsidP="00306ECA">
      <w:pPr>
        <w:tabs>
          <w:tab w:val="left" w:pos="1980"/>
        </w:tabs>
        <w:spacing w:line="360" w:lineRule="auto"/>
        <w:jc w:val="center"/>
        <w:rPr>
          <w:smallCaps/>
          <w:color w:val="000000"/>
          <w:sz w:val="28"/>
          <w:szCs w:val="28"/>
        </w:rPr>
      </w:pPr>
      <w:r>
        <w:rPr>
          <w:smallCaps/>
          <w:color w:val="000000"/>
          <w:sz w:val="28"/>
          <w:szCs w:val="28"/>
        </w:rPr>
        <w:t>AYUSH CHANDRA SATYAM</w:t>
      </w:r>
    </w:p>
    <w:p w:rsidR="001F3A7A" w:rsidRDefault="001F3A7A" w:rsidP="00306ECA">
      <w:pPr>
        <w:tabs>
          <w:tab w:val="left" w:pos="1980"/>
        </w:tabs>
        <w:spacing w:line="360" w:lineRule="auto"/>
        <w:jc w:val="center"/>
        <w:rPr>
          <w:smallCaps/>
          <w:color w:val="000000"/>
          <w:sz w:val="28"/>
          <w:szCs w:val="28"/>
        </w:rPr>
      </w:pPr>
      <w:r>
        <w:rPr>
          <w:smallCaps/>
          <w:color w:val="000000"/>
          <w:sz w:val="28"/>
          <w:szCs w:val="28"/>
        </w:rPr>
        <w:t>YEAR I, SEMESTER II</w:t>
      </w:r>
    </w:p>
    <w:p w:rsidR="001F3A7A" w:rsidRDefault="001F3A7A" w:rsidP="00306ECA">
      <w:pPr>
        <w:tabs>
          <w:tab w:val="left" w:pos="1980"/>
        </w:tabs>
        <w:spacing w:line="360" w:lineRule="auto"/>
        <w:jc w:val="center"/>
        <w:rPr>
          <w:smallCaps/>
          <w:color w:val="000000"/>
          <w:sz w:val="28"/>
          <w:szCs w:val="28"/>
        </w:rPr>
      </w:pPr>
      <w:r>
        <w:rPr>
          <w:smallCaps/>
          <w:color w:val="000000"/>
          <w:sz w:val="28"/>
          <w:szCs w:val="28"/>
        </w:rPr>
        <w:t>2025-5LLB-91</w:t>
      </w:r>
    </w:p>
    <w:p w:rsidR="00741D0D" w:rsidRDefault="00741D0D" w:rsidP="00306ECA">
      <w:pPr>
        <w:tabs>
          <w:tab w:val="left" w:pos="1980"/>
        </w:tabs>
        <w:spacing w:line="360" w:lineRule="auto"/>
        <w:jc w:val="center"/>
        <w:rPr>
          <w:smallCaps/>
          <w:color w:val="000000"/>
          <w:sz w:val="28"/>
          <w:szCs w:val="28"/>
        </w:rPr>
      </w:pPr>
    </w:p>
    <w:p w:rsidR="000268FC" w:rsidRDefault="001F3A7A" w:rsidP="00306ECA">
      <w:pPr>
        <w:tabs>
          <w:tab w:val="left" w:pos="1980"/>
        </w:tabs>
        <w:spacing w:line="360" w:lineRule="auto"/>
        <w:jc w:val="center"/>
        <w:rPr>
          <w:b/>
          <w:smallCaps/>
          <w:color w:val="000000"/>
          <w:sz w:val="28"/>
          <w:szCs w:val="28"/>
        </w:rPr>
      </w:pPr>
      <w:r w:rsidRPr="00DA1342">
        <w:rPr>
          <w:b/>
          <w:smallCaps/>
          <w:color w:val="000000"/>
          <w:sz w:val="28"/>
          <w:szCs w:val="28"/>
        </w:rPr>
        <w:t>NATIONAL ACADEMY OF LEGAL STUDIES AND RESEARCH, HYDERABAD</w:t>
      </w:r>
    </w:p>
    <w:p w:rsidR="000268FC" w:rsidRDefault="000268FC" w:rsidP="00306ECA">
      <w:pPr>
        <w:spacing w:line="360" w:lineRule="auto"/>
        <w:jc w:val="center"/>
      </w:pPr>
      <w:r w:rsidRPr="000268FC">
        <w:lastRenderedPageBreak/>
        <w:t>IN THE SUPREME COURT OF INDIA</w:t>
      </w:r>
    </w:p>
    <w:p w:rsidR="002F2F0A" w:rsidRDefault="002F2F0A" w:rsidP="00306ECA">
      <w:pPr>
        <w:spacing w:line="360" w:lineRule="auto"/>
        <w:jc w:val="center"/>
      </w:pPr>
    </w:p>
    <w:p w:rsidR="002F2F0A" w:rsidRDefault="002F2F0A" w:rsidP="00306ECA">
      <w:pPr>
        <w:spacing w:line="360" w:lineRule="auto"/>
        <w:jc w:val="center"/>
      </w:pPr>
      <w:r w:rsidRPr="002F2F0A">
        <w:t>Civil Appeal No. 4479 of 2007</w:t>
      </w:r>
    </w:p>
    <w:p w:rsidR="000268FC" w:rsidRPr="000268FC" w:rsidRDefault="000268FC" w:rsidP="00306ECA">
      <w:pPr>
        <w:spacing w:line="360" w:lineRule="auto"/>
        <w:jc w:val="center"/>
      </w:pPr>
    </w:p>
    <w:p w:rsidR="000268FC" w:rsidRDefault="002F2F0A" w:rsidP="00306ECA">
      <w:pPr>
        <w:spacing w:line="360" w:lineRule="auto"/>
        <w:jc w:val="center"/>
      </w:pPr>
      <w:r>
        <w:rPr>
          <w:rFonts w:cs="Times New Roman"/>
          <w:szCs w:val="24"/>
        </w:rPr>
        <w:t xml:space="preserve">Mathai </w:t>
      </w:r>
      <w:proofErr w:type="spellStart"/>
      <w:r>
        <w:rPr>
          <w:rFonts w:cs="Times New Roman"/>
          <w:szCs w:val="24"/>
        </w:rPr>
        <w:t>Mathai</w:t>
      </w:r>
      <w:proofErr w:type="spellEnd"/>
      <w:r w:rsidR="000268FC">
        <w:t xml:space="preserve">                                                                   </w:t>
      </w:r>
      <w:r>
        <w:t xml:space="preserve">                                     </w:t>
      </w:r>
      <w:r w:rsidR="000268FC">
        <w:t xml:space="preserve"> </w:t>
      </w:r>
      <w:r w:rsidR="000268FC">
        <w:rPr>
          <w:rFonts w:cs="Times New Roman"/>
          <w:szCs w:val="24"/>
        </w:rPr>
        <w:t>Petitioner</w:t>
      </w:r>
    </w:p>
    <w:p w:rsidR="000268FC" w:rsidRDefault="000268FC" w:rsidP="00306ECA">
      <w:pPr>
        <w:spacing w:line="360" w:lineRule="auto"/>
        <w:jc w:val="center"/>
      </w:pPr>
      <w:r>
        <w:t>Versus</w:t>
      </w:r>
    </w:p>
    <w:p w:rsidR="002F2F0A" w:rsidRDefault="002F2F0A" w:rsidP="00306ECA">
      <w:pPr>
        <w:spacing w:line="360" w:lineRule="auto"/>
        <w:jc w:val="center"/>
        <w:rPr>
          <w:rFonts w:cs="Times New Roman"/>
          <w:szCs w:val="24"/>
        </w:rPr>
      </w:pPr>
      <w:r>
        <w:t>J</w:t>
      </w:r>
      <w:r w:rsidRPr="002F2F0A">
        <w:t xml:space="preserve">oseph </w:t>
      </w:r>
      <w:r>
        <w:t xml:space="preserve">Mary                                                                                                           </w:t>
      </w:r>
      <w:r w:rsidR="000268FC">
        <w:rPr>
          <w:rFonts w:cs="Times New Roman"/>
          <w:szCs w:val="24"/>
        </w:rPr>
        <w:t>Respondent</w:t>
      </w:r>
    </w:p>
    <w:p w:rsidR="000268FC" w:rsidRPr="000654C6" w:rsidRDefault="000268FC" w:rsidP="00306ECA">
      <w:pPr>
        <w:spacing w:line="360" w:lineRule="auto"/>
        <w:jc w:val="both"/>
        <w:rPr>
          <w:rFonts w:cs="Times New Roman"/>
          <w:szCs w:val="24"/>
        </w:rPr>
      </w:pPr>
      <w:r>
        <w:rPr>
          <w:rFonts w:cs="Times New Roman"/>
          <w:szCs w:val="24"/>
        </w:rPr>
        <w:t xml:space="preserve">                </w:t>
      </w:r>
    </w:p>
    <w:p w:rsidR="006577FE" w:rsidRDefault="006577FE" w:rsidP="00306ECA">
      <w:pPr>
        <w:pStyle w:val="NormalWeb"/>
        <w:numPr>
          <w:ilvl w:val="0"/>
          <w:numId w:val="3"/>
        </w:numPr>
        <w:spacing w:line="360" w:lineRule="auto"/>
        <w:jc w:val="both"/>
      </w:pPr>
      <w:r>
        <w:t>This appeal raises a question of fundamental importance in the law of contracts, whether a minor can be a valid party to a mortgage deed executed in her favour. The answer to this question depends entirely up</w:t>
      </w:r>
      <w:r w:rsidR="00EF75D8">
        <w:t>on the interpretation of §</w:t>
      </w:r>
      <w:r w:rsidR="009B69D5">
        <w:t>11 of the ICA</w:t>
      </w:r>
      <w:r>
        <w:t>, 1872, which lays down the conditions for competency to contract. All other issues in this case, including the question of tenancy, are consequential upon this primary determination.</w:t>
      </w:r>
    </w:p>
    <w:p w:rsidR="006577FE" w:rsidRDefault="006577FE" w:rsidP="00306ECA">
      <w:pPr>
        <w:pStyle w:val="NormalWeb"/>
        <w:numPr>
          <w:ilvl w:val="0"/>
          <w:numId w:val="3"/>
        </w:numPr>
        <w:spacing w:line="360" w:lineRule="auto"/>
        <w:jc w:val="both"/>
      </w:pPr>
      <w:r>
        <w:t xml:space="preserve"> The petiti</w:t>
      </w:r>
      <w:r w:rsidR="00306ECA">
        <w:t xml:space="preserve">oner filed Original Application </w:t>
      </w:r>
      <w:r>
        <w:t>before the Land Tribunal, Kottayam, claiming to be a deemed tenant under §4</w:t>
      </w:r>
      <w:r w:rsidR="00306ECA">
        <w:t>A of the K.L.R. Act</w:t>
      </w:r>
      <w:r>
        <w:rPr>
          <w:rStyle w:val="FootnoteReference"/>
        </w:rPr>
        <w:footnoteReference w:id="2"/>
      </w:r>
      <w:r>
        <w:t xml:space="preserve">. The basis of this claim was a mortgage deed executed in the year 1909-1910 by the </w:t>
      </w:r>
      <w:r w:rsidR="00EF75D8">
        <w:t>petitioner</w:t>
      </w:r>
      <w:r>
        <w:t xml:space="preserve">'s uncle in favour of the </w:t>
      </w:r>
      <w:r w:rsidR="00EF75D8">
        <w:t>petitioner</w:t>
      </w:r>
      <w:r>
        <w:t xml:space="preserve">'s mother, late Smt. </w:t>
      </w:r>
      <w:proofErr w:type="spellStart"/>
      <w:r>
        <w:t>Aley</w:t>
      </w:r>
      <w:proofErr w:type="spellEnd"/>
      <w:r>
        <w:t xml:space="preserve">, as collateral security for a sum of 7,000 </w:t>
      </w:r>
      <w:proofErr w:type="spellStart"/>
      <w:r>
        <w:t>Chakram</w:t>
      </w:r>
      <w:proofErr w:type="spellEnd"/>
      <w:r>
        <w:t xml:space="preserve">, which was the dowry amount paid on her behalf at the time of her marriage. At the time of the execution and registration of this deed, the </w:t>
      </w:r>
      <w:r w:rsidR="00EF75D8">
        <w:t>petitioner</w:t>
      </w:r>
      <w:r>
        <w:t>'s mother was fifteen years of age.</w:t>
      </w:r>
    </w:p>
    <w:p w:rsidR="00AB12C1" w:rsidRDefault="006577FE" w:rsidP="00306ECA">
      <w:pPr>
        <w:pStyle w:val="NormalWeb"/>
        <w:numPr>
          <w:ilvl w:val="0"/>
          <w:numId w:val="3"/>
        </w:numPr>
        <w:spacing w:line="360" w:lineRule="auto"/>
        <w:jc w:val="both"/>
      </w:pPr>
      <w:r>
        <w:t xml:space="preserve">The petitioner case is that his mother took possession of the land as mortgagee from the date of that deed and stayed in possession without interruption for over fifty years. This matters because the </w:t>
      </w:r>
      <w:proofErr w:type="spellStart"/>
      <w:r>
        <w:t>K.L.R.Act</w:t>
      </w:r>
      <w:proofErr w:type="spellEnd"/>
      <w:r>
        <w:rPr>
          <w:rStyle w:val="FootnoteReference"/>
        </w:rPr>
        <w:footnoteReference w:id="3"/>
      </w:r>
      <w:r>
        <w:t xml:space="preserve"> says that a mortgagee who has been in possession for more than fifty years before 1 January 1970 is entitled to be registered as a deemed tenant. The </w:t>
      </w:r>
      <w:r w:rsidR="00EF75D8">
        <w:t>petitioner</w:t>
      </w:r>
      <w:r>
        <w:t xml:space="preserve"> claims that right and seeks a purchase certificate for the land in question, which measures about 2 acres and 48 cents.</w:t>
      </w:r>
      <w:r w:rsidR="0048624C">
        <w:t xml:space="preserve"> </w:t>
      </w:r>
    </w:p>
    <w:p w:rsidR="0048624C" w:rsidRDefault="006577FE" w:rsidP="00306ECA">
      <w:pPr>
        <w:pStyle w:val="NormalWeb"/>
        <w:numPr>
          <w:ilvl w:val="0"/>
          <w:numId w:val="3"/>
        </w:numPr>
        <w:spacing w:line="360" w:lineRule="auto"/>
        <w:jc w:val="both"/>
      </w:pPr>
      <w:r>
        <w:lastRenderedPageBreak/>
        <w:t xml:space="preserve">The first respondent denied all of this. She said the </w:t>
      </w:r>
      <w:r w:rsidR="00CE43FC">
        <w:t>petitioner's</w:t>
      </w:r>
      <w:r>
        <w:t xml:space="preserve"> mother never held possession as a mortgagee. She also pointed out that the mortgage deed itself does not contain any clause giving possession of the land to the mortgagee. Without such a clause, she argued, the petitioner cannot claim that his mother's possession was possession as a mortgagee under the deed</w:t>
      </w:r>
      <w:r w:rsidR="000D682A">
        <w:t xml:space="preserve">. </w:t>
      </w:r>
    </w:p>
    <w:p w:rsidR="00CE43FC" w:rsidRDefault="00CE43FC" w:rsidP="00306ECA">
      <w:pPr>
        <w:pStyle w:val="NormalWeb"/>
        <w:numPr>
          <w:ilvl w:val="0"/>
          <w:numId w:val="3"/>
        </w:numPr>
        <w:spacing w:line="360" w:lineRule="auto"/>
        <w:jc w:val="both"/>
      </w:pPr>
      <w:r>
        <w:t>There was anoth</w:t>
      </w:r>
      <w:r w:rsidR="00E65E5E">
        <w:t>er objection about the petitioner</w:t>
      </w:r>
      <w:r>
        <w:t xml:space="preserve"> himself. When his mother died, the </w:t>
      </w:r>
      <w:r w:rsidR="00EF75D8">
        <w:t>petitioner</w:t>
      </w:r>
      <w:r>
        <w:t xml:space="preserve"> was still a minor</w:t>
      </w:r>
      <w:r>
        <w:rPr>
          <w:rStyle w:val="FootnoteReference"/>
        </w:rPr>
        <w:footnoteReference w:id="4"/>
      </w:r>
      <w:r>
        <w:t>. A minor cannot take over contractual rights or continue possession under a contract</w:t>
      </w:r>
      <w:r>
        <w:rPr>
          <w:rStyle w:val="FootnoteReference"/>
        </w:rPr>
        <w:footnoteReference w:id="5"/>
      </w:r>
      <w:r>
        <w:t xml:space="preserve">. So even if his mother had some rights under the deed, the </w:t>
      </w:r>
      <w:r w:rsidR="00EF75D8">
        <w:t>petitioner</w:t>
      </w:r>
      <w:r>
        <w:t xml:space="preserve"> could not have inherited or continued them at that point in time.</w:t>
      </w:r>
    </w:p>
    <w:p w:rsidR="00973D63" w:rsidRDefault="009E7532" w:rsidP="00306ECA">
      <w:pPr>
        <w:pStyle w:val="NormalWeb"/>
        <w:numPr>
          <w:ilvl w:val="0"/>
          <w:numId w:val="3"/>
        </w:numPr>
        <w:spacing w:line="360" w:lineRule="auto"/>
        <w:jc w:val="both"/>
      </w:pPr>
      <w:r>
        <w:t xml:space="preserve">The second respondent argued that </w:t>
      </w:r>
      <w:r w:rsidR="00531D17">
        <w:t xml:space="preserve">the petitioner’s mother was a </w:t>
      </w:r>
      <w:r w:rsidR="00DE6EB3">
        <w:t>15-year-old minor at the time of execution</w:t>
      </w:r>
      <w:r w:rsidR="00DE6EB3" w:rsidRPr="00DE6EB3">
        <w:t>, she lacked the legal capa</w:t>
      </w:r>
      <w:r w:rsidR="00DE6EB3">
        <w:t>city to enter into a contract</w:t>
      </w:r>
      <w:r w:rsidR="00DE6EB3">
        <w:rPr>
          <w:rStyle w:val="FootnoteReference"/>
        </w:rPr>
        <w:footnoteReference w:id="6"/>
      </w:r>
      <w:r w:rsidR="00DE6EB3">
        <w:t xml:space="preserve">. </w:t>
      </w:r>
      <w:r w:rsidR="00DE6EB3" w:rsidRPr="00DE6EB3">
        <w:t xml:space="preserve">Therefore, relying on </w:t>
      </w:r>
      <w:proofErr w:type="spellStart"/>
      <w:r w:rsidR="00DE6EB3" w:rsidRPr="00DE6EB3">
        <w:t>M</w:t>
      </w:r>
      <w:r w:rsidR="00C4679B">
        <w:t>ohori</w:t>
      </w:r>
      <w:proofErr w:type="spellEnd"/>
      <w:r w:rsidR="00C4679B">
        <w:t xml:space="preserve"> </w:t>
      </w:r>
      <w:proofErr w:type="spellStart"/>
      <w:r w:rsidR="00C4679B">
        <w:t>Bibee</w:t>
      </w:r>
      <w:proofErr w:type="spellEnd"/>
      <w:r w:rsidR="00C4679B">
        <w:t xml:space="preserve"> v. </w:t>
      </w:r>
      <w:proofErr w:type="spellStart"/>
      <w:r w:rsidR="00C4679B">
        <w:t>Dharmodas</w:t>
      </w:r>
      <w:proofErr w:type="spellEnd"/>
      <w:r w:rsidR="00C4679B">
        <w:t xml:space="preserve"> </w:t>
      </w:r>
      <w:proofErr w:type="spellStart"/>
      <w:r w:rsidR="00C4679B">
        <w:t>Ghose</w:t>
      </w:r>
      <w:proofErr w:type="spellEnd"/>
      <w:r w:rsidR="00C4679B">
        <w:rPr>
          <w:rStyle w:val="FootnoteReference"/>
        </w:rPr>
        <w:footnoteReference w:id="7"/>
      </w:r>
      <w:r w:rsidR="00C4679B">
        <w:t xml:space="preserve">, the mortgage deed was void ab initio, meaning she could not legally hold the land as a mortgage </w:t>
      </w:r>
      <w:r w:rsidR="00DE6EB3" w:rsidRPr="00DE6EB3">
        <w:t xml:space="preserve">and </w:t>
      </w:r>
      <w:r>
        <w:t xml:space="preserve">the continuous 50-year possession requirement was not met. </w:t>
      </w:r>
    </w:p>
    <w:p w:rsidR="009E7532" w:rsidRDefault="00E65E5E" w:rsidP="00306ECA">
      <w:pPr>
        <w:pStyle w:val="NormalWeb"/>
        <w:numPr>
          <w:ilvl w:val="0"/>
          <w:numId w:val="3"/>
        </w:numPr>
        <w:spacing w:line="360" w:lineRule="auto"/>
        <w:jc w:val="both"/>
      </w:pPr>
      <w:r w:rsidRPr="00684665">
        <w:rPr>
          <w:highlight w:val="yellow"/>
        </w:rPr>
        <w:t>The Land Tribunal did not agree with the respondent. It found, on the basis of evidence on record that the petitioner was a deemed tenant</w:t>
      </w:r>
      <w:r w:rsidRPr="00684665">
        <w:rPr>
          <w:rStyle w:val="FootnoteReference"/>
          <w:highlight w:val="yellow"/>
        </w:rPr>
        <w:footnoteReference w:id="8"/>
      </w:r>
      <w:r w:rsidRPr="00684665">
        <w:rPr>
          <w:highlight w:val="yellow"/>
        </w:rPr>
        <w:t xml:space="preserve"> and was entitled to a purchase certificate. The Tribunal relied on the Revenue Inspector's report and on a deposition made by the petitioner’s father in an earlier proceeding, which showed that the petitioner had been cultivating and enjoying the land</w:t>
      </w:r>
      <w:r>
        <w:t>.</w:t>
      </w:r>
    </w:p>
    <w:p w:rsidR="009E7532" w:rsidRDefault="002D78A2" w:rsidP="00306ECA">
      <w:pPr>
        <w:pStyle w:val="NormalWeb"/>
        <w:numPr>
          <w:ilvl w:val="0"/>
          <w:numId w:val="3"/>
        </w:numPr>
        <w:spacing w:line="360" w:lineRule="auto"/>
        <w:jc w:val="both"/>
      </w:pPr>
      <w:r>
        <w:t xml:space="preserve">The first respondent approached the High Court of Kerala by filing a revision petition. The High Court of Kerala considered the arguments of both parties and whether the findings of the authorities below were legally sustainable. </w:t>
      </w:r>
    </w:p>
    <w:p w:rsidR="00E65E5E" w:rsidRDefault="00E65E5E" w:rsidP="00306ECA">
      <w:pPr>
        <w:pStyle w:val="NormalWeb"/>
        <w:numPr>
          <w:ilvl w:val="0"/>
          <w:numId w:val="3"/>
        </w:numPr>
        <w:spacing w:line="360" w:lineRule="auto"/>
        <w:jc w:val="both"/>
      </w:pPr>
      <w:r>
        <w:t xml:space="preserve">The High Court accepted that the petitioner’s possession of the land could not be seriously questioned given the concurrent findings below. But the Court said that possession alone is not enough. It looked at the mortgage deed and noted that it had no clause for delivery of possession to the mortgagee. Possession that does not flow from a valid mortgage deed, said the High Court, cannot ground a claim under </w:t>
      </w:r>
      <w:r w:rsidR="00EF75D8">
        <w:t>§</w:t>
      </w:r>
      <w:r>
        <w:t>4A.</w:t>
      </w:r>
    </w:p>
    <w:p w:rsidR="00E65E5E" w:rsidRDefault="00E65E5E" w:rsidP="00306ECA">
      <w:pPr>
        <w:pStyle w:val="NormalWeb"/>
        <w:numPr>
          <w:ilvl w:val="0"/>
          <w:numId w:val="3"/>
        </w:numPr>
        <w:spacing w:line="360" w:lineRule="auto"/>
        <w:jc w:val="both"/>
      </w:pPr>
      <w:r>
        <w:t>The High Court held that the petitioner had not proved he was in possession as a mortgagee in the way the statute requires. The basic conditions for deemed tenancy were not met.</w:t>
      </w:r>
    </w:p>
    <w:p w:rsidR="00AC1CFE" w:rsidRDefault="00E65E5E" w:rsidP="00306ECA">
      <w:pPr>
        <w:pStyle w:val="NormalWeb"/>
        <w:numPr>
          <w:ilvl w:val="0"/>
          <w:numId w:val="3"/>
        </w:numPr>
        <w:spacing w:line="360" w:lineRule="auto"/>
        <w:jc w:val="both"/>
      </w:pPr>
      <w:r>
        <w:lastRenderedPageBreak/>
        <w:t>The High Court allowed the revision petition and set aside both the Land Tribunal’s order and the Appellate Authority's order. The petitioner Original Application No. 230 of 1981 was rejected.</w:t>
      </w:r>
    </w:p>
    <w:p w:rsidR="00EE414C" w:rsidRDefault="00E65E5E" w:rsidP="00306ECA">
      <w:pPr>
        <w:pStyle w:val="NormalWeb"/>
        <w:numPr>
          <w:ilvl w:val="0"/>
          <w:numId w:val="3"/>
        </w:numPr>
        <w:spacing w:line="360" w:lineRule="auto"/>
        <w:jc w:val="both"/>
      </w:pPr>
      <w:r>
        <w:t xml:space="preserve">The petitioner is now before Supreme Court. He says the High Court went beyond its </w:t>
      </w:r>
      <w:proofErr w:type="spellStart"/>
      <w:r>
        <w:t>revisional</w:t>
      </w:r>
      <w:proofErr w:type="spellEnd"/>
      <w:r>
        <w:t xml:space="preserve"> jurisdiction and wrongly disturbed two concurrent findings of fact. He argues that the mortgage deed created rights in his mother's favour and those rights passed to him after her death, so he is entitled to claim possession as mortgagee and ask for deemed tenancy status.</w:t>
      </w:r>
    </w:p>
    <w:p w:rsidR="00E65E5E" w:rsidRDefault="00E65E5E" w:rsidP="00306ECA">
      <w:pPr>
        <w:pStyle w:val="NormalWeb"/>
        <w:numPr>
          <w:ilvl w:val="0"/>
          <w:numId w:val="3"/>
        </w:numPr>
        <w:spacing w:line="360" w:lineRule="auto"/>
        <w:jc w:val="both"/>
      </w:pPr>
      <w:r>
        <w:t xml:space="preserve">The respondent supports the High Court. She says the petitioner has no valid contractual right to show. The deed does not prove delivery of possession. The </w:t>
      </w:r>
      <w:r w:rsidR="00EF75D8">
        <w:t>petitioner</w:t>
      </w:r>
      <w:r>
        <w:t xml:space="preserve"> was a minor when his mother died, so he could not have stepped into her shoes. And most importantly, the mother was herself a minor when the deed was made, so under §11 of the </w:t>
      </w:r>
      <w:r w:rsidR="009B69D5">
        <w:t>ICA</w:t>
      </w:r>
      <w:r>
        <w:t xml:space="preserve">, the deed was void ab initio, and the </w:t>
      </w:r>
      <w:r w:rsidR="00EF75D8">
        <w:t>petitioner</w:t>
      </w:r>
      <w:r>
        <w:t>'s entire case collapses at the very foundation.</w:t>
      </w:r>
    </w:p>
    <w:p w:rsidR="00E65E5E" w:rsidRDefault="00E65E5E" w:rsidP="00306ECA">
      <w:pPr>
        <w:pStyle w:val="font-claude-response-body"/>
        <w:numPr>
          <w:ilvl w:val="0"/>
          <w:numId w:val="3"/>
        </w:numPr>
        <w:spacing w:line="360" w:lineRule="auto"/>
      </w:pPr>
      <w:r>
        <w:t>We have heard both sides. In our view, this case turns on one question of law:</w:t>
      </w:r>
    </w:p>
    <w:p w:rsidR="000B7A93" w:rsidRDefault="000B7A93" w:rsidP="00306ECA">
      <w:pPr>
        <w:pStyle w:val="NormalWeb"/>
        <w:spacing w:line="360" w:lineRule="auto"/>
        <w:ind w:left="720"/>
        <w:jc w:val="both"/>
      </w:pPr>
      <w:r>
        <w:t xml:space="preserve">Whether </w:t>
      </w:r>
      <w:r w:rsidR="00C4679B">
        <w:t xml:space="preserve">a mortgage deed executed in favour of a minor is legally valid and enforceable under </w:t>
      </w:r>
      <w:r w:rsidR="00133E22">
        <w:t>§</w:t>
      </w:r>
      <w:r w:rsidR="00C4679B">
        <w:t xml:space="preserve">11 of </w:t>
      </w:r>
      <w:r w:rsidR="009B69D5">
        <w:t>ICA</w:t>
      </w:r>
      <w:r w:rsidR="00C4679B">
        <w:t xml:space="preserve"> 1872</w:t>
      </w:r>
      <w:r w:rsidR="00C4679B">
        <w:rPr>
          <w:rStyle w:val="FootnoteReference"/>
        </w:rPr>
        <w:footnoteReference w:id="9"/>
      </w:r>
      <w:r w:rsidR="00C4679B">
        <w:t>?</w:t>
      </w:r>
    </w:p>
    <w:p w:rsidR="00C4679B" w:rsidRDefault="001030D4" w:rsidP="00306ECA">
      <w:pPr>
        <w:pStyle w:val="NormalWeb"/>
        <w:numPr>
          <w:ilvl w:val="0"/>
          <w:numId w:val="3"/>
        </w:numPr>
        <w:spacing w:line="360" w:lineRule="auto"/>
        <w:jc w:val="both"/>
      </w:pPr>
      <w:r>
        <w:t xml:space="preserve">The Court believes that the mortgage deed executed in the year 1909-1910 was the basis of the contractual relationship between the parties because the deed was executed in favour of the petitioner’s mother, as collateral security for a sum of 7000 </w:t>
      </w:r>
      <w:proofErr w:type="spellStart"/>
      <w:r>
        <w:t>Chakram</w:t>
      </w:r>
      <w:proofErr w:type="spellEnd"/>
      <w:r>
        <w:t>. The court is convinced that this dowry amount had already been paid and advanced on behalf of the minor. According to the facts, the petitioner claims to be deemed tenant under §4 of K.L.R. Act based on the long possession of the land by his mother as a mortgagee. The uncle also acknowledged the receipt of the consideration</w:t>
      </w:r>
      <w:r w:rsidR="00E57698">
        <w:t>,</w:t>
      </w:r>
      <w:r>
        <w:t xml:space="preserve"> which signifies that the minor mother had fully performed her side of the part, leaving no future obligations or promises to pay her part. </w:t>
      </w:r>
    </w:p>
    <w:p w:rsidR="003E164C" w:rsidRDefault="00191A95" w:rsidP="00306ECA">
      <w:pPr>
        <w:pStyle w:val="ListParagraph"/>
        <w:numPr>
          <w:ilvl w:val="0"/>
          <w:numId w:val="3"/>
        </w:numPr>
        <w:spacing w:line="360" w:lineRule="auto"/>
        <w:jc w:val="both"/>
      </w:pPr>
      <w:r>
        <w:t>The petitioner argued that since the petitioner’s mother had fully complied with her obligations by advancing the dowry amount, the contract lies under the executed contract exception and was completely valid. Furthermore, because of the executed nature of the transaction, the mother validly held the land as a mortgagee</w:t>
      </w:r>
      <w:r w:rsidR="00995ACE">
        <w:t>, and her 50-</w:t>
      </w:r>
      <w:r w:rsidR="00995ACE">
        <w:lastRenderedPageBreak/>
        <w:t xml:space="preserve">year possession entitled the petitioner to claim a </w:t>
      </w:r>
      <w:r>
        <w:t>deemed tenancy. Hence, the mortgage</w:t>
      </w:r>
      <w:r w:rsidR="00995ACE">
        <w:t xml:space="preserve"> deed is not hit by § 11 of the </w:t>
      </w:r>
      <w:r>
        <w:t>ICA</w:t>
      </w:r>
      <w:r>
        <w:rPr>
          <w:rStyle w:val="FootnoteReference"/>
        </w:rPr>
        <w:footnoteReference w:id="10"/>
      </w:r>
      <w:r w:rsidR="00056FFD">
        <w:t>.</w:t>
      </w:r>
    </w:p>
    <w:p w:rsidR="00056FFD" w:rsidRDefault="00056FFD" w:rsidP="00306ECA">
      <w:pPr>
        <w:pStyle w:val="ListParagraph"/>
        <w:numPr>
          <w:ilvl w:val="0"/>
          <w:numId w:val="3"/>
        </w:numPr>
        <w:spacing w:line="360" w:lineRule="auto"/>
        <w:jc w:val="both"/>
      </w:pPr>
      <w:r>
        <w:t xml:space="preserve">The respondent submitted that the petitioner’s mother was 15 years old at the time of the agreement by relying on </w:t>
      </w:r>
      <w:r w:rsidR="00995ACE">
        <w:t>§11 of ICA. The respondent argued that a minor completely lacks the legal capacity to enter into a contract,</w:t>
      </w:r>
      <w:r>
        <w:t xml:space="preserve"> rendering the mortgage agreement void ab initio. The court</w:t>
      </w:r>
      <w:r w:rsidR="00995ACE">
        <w:t xml:space="preserve">, after interpreting the nature of the mortgage deed, is of the opinion that there should be a clear distinction between an executory contract, which binds a minor to future liabilities and an executed contract, where the minor has already provided the consideration. </w:t>
      </w:r>
      <w:r>
        <w:t xml:space="preserve"> </w:t>
      </w:r>
    </w:p>
    <w:p w:rsidR="00995ACE" w:rsidRDefault="00156E69" w:rsidP="00306ECA">
      <w:pPr>
        <w:pStyle w:val="ListParagraph"/>
        <w:numPr>
          <w:ilvl w:val="0"/>
          <w:numId w:val="3"/>
        </w:numPr>
        <w:spacing w:line="360" w:lineRule="auto"/>
        <w:jc w:val="both"/>
      </w:pPr>
      <w:r>
        <w:t>T</w:t>
      </w:r>
      <w:r w:rsidR="00995ACE">
        <w:t xml:space="preserve">he applicability of the doctrine of absolute incompetency §11 of the ICA, several precedents have </w:t>
      </w:r>
      <w:r>
        <w:t>been used</w:t>
      </w:r>
      <w:r w:rsidR="00995ACE">
        <w:t xml:space="preserve"> </w:t>
      </w:r>
      <w:r w:rsidR="008D461E">
        <w:t>ss</w:t>
      </w:r>
      <w:r w:rsidR="00995ACE">
        <w:t xml:space="preserve">by both parties and the court will examine the same in light of the evolved jurisprudence in common law. The general understanding has been that a minor’s contract is absolutely void. In the </w:t>
      </w:r>
      <w:proofErr w:type="spellStart"/>
      <w:r w:rsidR="00995ACE">
        <w:t>Mohori</w:t>
      </w:r>
      <w:proofErr w:type="spellEnd"/>
      <w:r w:rsidR="00995ACE">
        <w:t xml:space="preserve"> </w:t>
      </w:r>
      <w:proofErr w:type="spellStart"/>
      <w:r w:rsidR="00995ACE">
        <w:t>Bibee</w:t>
      </w:r>
      <w:proofErr w:type="spellEnd"/>
      <w:r w:rsidR="00995ACE">
        <w:rPr>
          <w:rStyle w:val="FootnoteReference"/>
        </w:rPr>
        <w:footnoteReference w:id="11"/>
      </w:r>
      <w:r w:rsidR="00995ACE">
        <w:t xml:space="preserve"> c</w:t>
      </w:r>
      <w:r w:rsidR="009B2C75">
        <w:t xml:space="preserve">ase, which is considered a </w:t>
      </w:r>
      <w:r w:rsidR="00995ACE">
        <w:t xml:space="preserve">classic </w:t>
      </w:r>
      <w:r w:rsidR="009B2C75">
        <w:t>judgment on the subject of minor’s capacity to contract. The Privy Council laid down that the ICA makes it essential that all contracting parties should be competent to contract §11 of ICA and a person who by reason of infancy is incompetent cannot make a contract within the meaning of the Act. However, in that case the minor was mortgagor who had borrowed money and the moneylender was seeking to enforce a void mortgage against the</w:t>
      </w:r>
      <w:r w:rsidR="00EF75D8">
        <w:t xml:space="preserve"> minor’s property. </w:t>
      </w:r>
    </w:p>
    <w:p w:rsidR="009B2C75" w:rsidRDefault="00202A41" w:rsidP="00306ECA">
      <w:pPr>
        <w:pStyle w:val="ListParagraph"/>
        <w:numPr>
          <w:ilvl w:val="0"/>
          <w:numId w:val="3"/>
        </w:numPr>
        <w:spacing w:line="360" w:lineRule="auto"/>
        <w:jc w:val="both"/>
      </w:pPr>
      <w:r>
        <w:t xml:space="preserve">In the A.T. </w:t>
      </w:r>
      <w:proofErr w:type="spellStart"/>
      <w:r>
        <w:t>Raghava</w:t>
      </w:r>
      <w:proofErr w:type="spellEnd"/>
      <w:r>
        <w:t xml:space="preserve"> </w:t>
      </w:r>
      <w:proofErr w:type="spellStart"/>
      <w:r>
        <w:t>Chariar</w:t>
      </w:r>
      <w:proofErr w:type="spellEnd"/>
      <w:r w:rsidR="000064AE">
        <w:rPr>
          <w:rStyle w:val="FootnoteReference"/>
        </w:rPr>
        <w:footnoteReference w:id="12"/>
      </w:r>
      <w:r>
        <w:t xml:space="preserve"> case, the main issue was the validity of a mortgage executed in </w:t>
      </w:r>
      <w:proofErr w:type="spellStart"/>
      <w:r>
        <w:t>favour</w:t>
      </w:r>
      <w:proofErr w:type="spellEnd"/>
      <w:r>
        <w:t xml:space="preserve"> of a minor who had advanced the entirety of the mortgage money. </w:t>
      </w:r>
      <w:r w:rsidR="00155763">
        <w:t xml:space="preserve">The Full Bench of the Madras High Court concluded that such agreements are valid and enforceable because the minor had completely executed his part of the contract and the transaction was entirely for his benefit. </w:t>
      </w:r>
      <w:r w:rsidR="000374B3">
        <w:t xml:space="preserve">The court asked </w:t>
      </w:r>
      <w:r w:rsidR="000064AE">
        <w:t>whether, just because the law protects minors from being held to contracts, that</w:t>
      </w:r>
      <w:r w:rsidR="000374B3">
        <w:t xml:space="preserve"> protection shouldn’t be used as </w:t>
      </w:r>
      <w:r w:rsidR="000064AE">
        <w:t xml:space="preserve">an excuse to deny those benefits. Hence, the court laid down the principle that an executed contract in </w:t>
      </w:r>
      <w:proofErr w:type="spellStart"/>
      <w:r w:rsidR="000064AE">
        <w:t>favour</w:t>
      </w:r>
      <w:proofErr w:type="spellEnd"/>
      <w:r w:rsidR="000064AE">
        <w:t xml:space="preserve"> of a minor is enforceable. In </w:t>
      </w:r>
      <w:proofErr w:type="spellStart"/>
      <w:r w:rsidR="000064AE">
        <w:t>Hanmant</w:t>
      </w:r>
      <w:proofErr w:type="spellEnd"/>
      <w:r w:rsidR="000064AE">
        <w:t xml:space="preserve"> </w:t>
      </w:r>
      <w:proofErr w:type="spellStart"/>
      <w:r w:rsidR="000064AE">
        <w:t>Lakhshman</w:t>
      </w:r>
      <w:proofErr w:type="spellEnd"/>
      <w:r w:rsidR="000064AE">
        <w:rPr>
          <w:rStyle w:val="FootnoteReference"/>
        </w:rPr>
        <w:footnoteReference w:id="13"/>
      </w:r>
      <w:r w:rsidR="000064AE">
        <w:t xml:space="preserve"> </w:t>
      </w:r>
      <w:r w:rsidR="003B1A5C">
        <w:t>the Bombay High Court similarly declined to strike down a bond execut</w:t>
      </w:r>
      <w:r w:rsidR="00EF75D8">
        <w:t xml:space="preserve">ed in </w:t>
      </w:r>
      <w:proofErr w:type="spellStart"/>
      <w:r w:rsidR="00EF75D8">
        <w:t>favour</w:t>
      </w:r>
      <w:proofErr w:type="spellEnd"/>
      <w:r w:rsidR="00EF75D8">
        <w:t xml:space="preserve"> of a minor, </w:t>
      </w:r>
      <w:r w:rsidR="005A6E42">
        <w:t>holding that a minor could sue to recover upon a contract where the consideration had already been fulfilled</w:t>
      </w:r>
      <w:r w:rsidR="007231BE">
        <w:rPr>
          <w:rStyle w:val="FootnoteReference"/>
        </w:rPr>
        <w:footnoteReference w:id="14"/>
      </w:r>
      <w:r w:rsidR="005A6E42">
        <w:t xml:space="preserve">. </w:t>
      </w:r>
    </w:p>
    <w:p w:rsidR="005A6E42" w:rsidRDefault="005A6E42" w:rsidP="00306ECA">
      <w:pPr>
        <w:pStyle w:val="ListParagraph"/>
        <w:numPr>
          <w:ilvl w:val="0"/>
          <w:numId w:val="3"/>
        </w:numPr>
        <w:spacing w:line="360" w:lineRule="auto"/>
        <w:jc w:val="both"/>
      </w:pPr>
      <w:r>
        <w:lastRenderedPageBreak/>
        <w:t>The evolution of the exec</w:t>
      </w:r>
      <w:r w:rsidR="00306ECA">
        <w:t>uted contract exception will help</w:t>
      </w:r>
      <w:r w:rsidR="002B4F75">
        <w:t xml:space="preserve"> in understanding</w:t>
      </w:r>
      <w:r>
        <w:t xml:space="preserve"> the pre</w:t>
      </w:r>
      <w:r w:rsidR="002B4F75">
        <w:t>sent position</w:t>
      </w:r>
      <w:r>
        <w:t xml:space="preserve"> held by India. While the strict application </w:t>
      </w:r>
      <w:r w:rsidR="004C6AA6">
        <w:t xml:space="preserve">of </w:t>
      </w:r>
      <w:proofErr w:type="spellStart"/>
      <w:r w:rsidR="004C6AA6">
        <w:t>Mohori</w:t>
      </w:r>
      <w:proofErr w:type="spellEnd"/>
      <w:r w:rsidR="004C6AA6">
        <w:t xml:space="preserve"> </w:t>
      </w:r>
      <w:proofErr w:type="spellStart"/>
      <w:r w:rsidR="004C6AA6">
        <w:t>Bibee</w:t>
      </w:r>
      <w:proofErr w:type="spellEnd"/>
      <w:r w:rsidR="004C6AA6">
        <w:t xml:space="preserve"> suggested that Indian law intended to depart entirely from common law equitable exception,</w:t>
      </w:r>
      <w:r>
        <w:t xml:space="preserve"> subsequent interpretations clarified that this was not the case for executed contracts.</w:t>
      </w:r>
    </w:p>
    <w:p w:rsidR="005A6E42" w:rsidRDefault="005A6E42" w:rsidP="00306ECA">
      <w:pPr>
        <w:pStyle w:val="ListParagraph"/>
        <w:numPr>
          <w:ilvl w:val="0"/>
          <w:numId w:val="3"/>
        </w:numPr>
        <w:spacing w:line="360" w:lineRule="auto"/>
        <w:jc w:val="both"/>
      </w:pPr>
      <w:r>
        <w:t>In modern commercial and property law, it is a settled principle that two questions should be considered regarding minor contracts: does the contract impose a continuing personal liability on the minor and if not, has the other party unjustly enriched themselves at the expense of the minor’s executed consideration? Thus, the capacity to hold property as a mortgag</w:t>
      </w:r>
      <w:r w:rsidR="00C43828">
        <w:t xml:space="preserve">ee, which is an inherent right </w:t>
      </w:r>
      <w:r>
        <w:t>flowing from an executed contract</w:t>
      </w:r>
      <w:r w:rsidR="00C43828">
        <w:t xml:space="preserve">, is evaluated by the court based on whether the minor is burdened with two-way promise. Though </w:t>
      </w:r>
      <w:proofErr w:type="spellStart"/>
      <w:r w:rsidR="00C43828">
        <w:t>Mohori</w:t>
      </w:r>
      <w:proofErr w:type="spellEnd"/>
      <w:r w:rsidR="00C43828">
        <w:t xml:space="preserve"> </w:t>
      </w:r>
      <w:proofErr w:type="spellStart"/>
      <w:r w:rsidR="00C43828">
        <w:t>Bibee</w:t>
      </w:r>
      <w:proofErr w:type="spellEnd"/>
      <w:r w:rsidR="00C43828">
        <w:t xml:space="preserve"> is considered a blanket ban under §11 of ICA but the same is not barred from equitable exception when read with TPA</w:t>
      </w:r>
      <w:r w:rsidR="00C43828">
        <w:rPr>
          <w:rStyle w:val="FootnoteReference"/>
        </w:rPr>
        <w:footnoteReference w:id="15"/>
      </w:r>
      <w:r w:rsidR="00C43828">
        <w:t xml:space="preserve"> as interpreted in the series of High court judgments. </w:t>
      </w:r>
    </w:p>
    <w:p w:rsidR="00EF75D8" w:rsidRDefault="00EF75D8" w:rsidP="00306ECA">
      <w:pPr>
        <w:pStyle w:val="ListParagraph"/>
        <w:numPr>
          <w:ilvl w:val="0"/>
          <w:numId w:val="3"/>
        </w:numPr>
        <w:spacing w:line="360" w:lineRule="auto"/>
        <w:jc w:val="both"/>
      </w:pPr>
      <w:r>
        <w:t xml:space="preserve">If we allow such a blanket ban, it will create serious difficulties when property relations become complex. Voiding every contract involving a minor, even where the minor has already paid in full, would turn a law designed to protect minors into a tool for adult parties to commit fraud. A person who has knowingly accepted money from a minor should not be allowed to later escape his obligations simply by pointing to the minor's age. The law under §11 was designed to shield minors from being trapped into contracts they do not understand and cannot fulfil, it was never intended to work the other way around. To interpret it otherwise would stand the very purpose of the provision on its head. Therefore, the validity of an executed contract in </w:t>
      </w:r>
      <w:proofErr w:type="spellStart"/>
      <w:r>
        <w:t>favour</w:t>
      </w:r>
      <w:proofErr w:type="spellEnd"/>
      <w:r>
        <w:t xml:space="preserve"> of a minor must be recognized</w:t>
      </w:r>
    </w:p>
    <w:p w:rsidR="00B72EE0" w:rsidRDefault="00156E69" w:rsidP="00306ECA">
      <w:pPr>
        <w:pStyle w:val="ListParagraph"/>
        <w:numPr>
          <w:ilvl w:val="0"/>
          <w:numId w:val="3"/>
        </w:numPr>
        <w:spacing w:line="360" w:lineRule="auto"/>
        <w:jc w:val="both"/>
      </w:pPr>
      <w:r>
        <w:t>The court will now decide</w:t>
      </w:r>
      <w:r w:rsidR="00B72EE0">
        <w:t xml:space="preserve"> whether the mortgage deed in the present case is void contract according to §11 of ICA. </w:t>
      </w:r>
      <w:r w:rsidR="004C6AA6">
        <w:t>The transfer of the property interest was included in the agreement between the petitioner’s uncle and the petitioner’s minor mother. It can be inferred from the facts that there was no executory promise remaining on the part of the 15-year-old minor</w:t>
      </w:r>
      <w:r w:rsidR="00E57698">
        <w:t>,</w:t>
      </w:r>
      <w:r w:rsidR="004C6AA6">
        <w:t xml:space="preserve"> the dowry of 7000 </w:t>
      </w:r>
      <w:proofErr w:type="spellStart"/>
      <w:r w:rsidR="004C6AA6">
        <w:t>chakram</w:t>
      </w:r>
      <w:proofErr w:type="spellEnd"/>
      <w:r w:rsidR="004C6AA6">
        <w:t xml:space="preserve"> had already been provided. The deed merely secured the money already advanced. Consequently, the mortgage agreement does not force any heavy, future burdens on the minor, so accepting it doesn't go against §11 of the ICA goal of protecting minors from bad deals</w:t>
      </w:r>
      <w:r w:rsidR="002E615C">
        <w:rPr>
          <w:rStyle w:val="FootnoteReference"/>
        </w:rPr>
        <w:footnoteReference w:id="16"/>
      </w:r>
      <w:r w:rsidR="004C6AA6">
        <w:t xml:space="preserve">. </w:t>
      </w:r>
    </w:p>
    <w:p w:rsidR="004C6AA6" w:rsidRPr="00582A58" w:rsidRDefault="00CB23DF" w:rsidP="00306ECA">
      <w:pPr>
        <w:pStyle w:val="ListParagraph"/>
        <w:numPr>
          <w:ilvl w:val="0"/>
          <w:numId w:val="3"/>
        </w:numPr>
        <w:spacing w:line="360" w:lineRule="auto"/>
        <w:jc w:val="both"/>
      </w:pPr>
      <w:r>
        <w:lastRenderedPageBreak/>
        <w:t xml:space="preserve">In </w:t>
      </w:r>
      <w:r w:rsidR="002978B8">
        <w:t>court</w:t>
      </w:r>
      <w:r>
        <w:t xml:space="preserve"> opinion if the court rules that adult mortgagor can escape his liabilities simply because mortgagee was 15 year ol</w:t>
      </w:r>
      <w:r w:rsidR="00AD5DF2">
        <w:t xml:space="preserve">d minor it would mean interpreting the ICA in a way that accidentally rewards people for doing the wrong thing allowing adults to accept a minor’s money and then refuse to perform their obligations. Such an interpretation would not be a reasonable one according </w:t>
      </w:r>
      <w:r w:rsidR="00582A58">
        <w:rPr>
          <w:lang w:val="en-IN"/>
        </w:rPr>
        <w:t>to settled jurisprudence. Further, this would create an arbitrary distinction between minors who inherit property as mortgagees and those who acquire it via an executed contract paid on their behalf</w:t>
      </w:r>
      <w:r w:rsidR="00156E69">
        <w:rPr>
          <w:rStyle w:val="FootnoteReference"/>
          <w:lang w:val="en-IN"/>
        </w:rPr>
        <w:footnoteReference w:id="17"/>
      </w:r>
      <w:r w:rsidR="00582A58">
        <w:rPr>
          <w:lang w:val="en-IN"/>
        </w:rPr>
        <w:t>. Therefore, the mortgage deed cannot be struck down as void ab initio</w:t>
      </w:r>
      <w:r w:rsidR="00E57698">
        <w:rPr>
          <w:lang w:val="en-IN"/>
        </w:rPr>
        <w:t>,</w:t>
      </w:r>
      <w:r w:rsidR="00582A58">
        <w:rPr>
          <w:lang w:val="en-IN"/>
        </w:rPr>
        <w:t xml:space="preserve"> and the petitioner’s mother validly held the property as a mortgagee</w:t>
      </w:r>
      <w:r w:rsidR="002E615C">
        <w:rPr>
          <w:rStyle w:val="FootnoteReference"/>
          <w:lang w:val="en-IN"/>
        </w:rPr>
        <w:footnoteReference w:id="18"/>
      </w:r>
      <w:r w:rsidR="00582A58">
        <w:rPr>
          <w:lang w:val="en-IN"/>
        </w:rPr>
        <w:t xml:space="preserve">. </w:t>
      </w:r>
    </w:p>
    <w:p w:rsidR="00582A58" w:rsidRPr="00C10072" w:rsidRDefault="00582A58" w:rsidP="00306ECA">
      <w:pPr>
        <w:numPr>
          <w:ilvl w:val="0"/>
          <w:numId w:val="3"/>
        </w:numPr>
        <w:spacing w:before="100" w:beforeAutospacing="1" w:after="150" w:line="360" w:lineRule="auto"/>
        <w:jc w:val="both"/>
        <w:rPr>
          <w:rFonts w:eastAsia="Times New Roman" w:cs="Times New Roman"/>
          <w:color w:val="1F1F1F"/>
          <w:szCs w:val="24"/>
          <w:lang w:eastAsia="en-IN"/>
        </w:rPr>
      </w:pPr>
      <w:r w:rsidRPr="00C10072">
        <w:rPr>
          <w:rFonts w:eastAsia="Times New Roman" w:cs="Times New Roman"/>
          <w:color w:val="1F1F1F"/>
          <w:szCs w:val="24"/>
          <w:lang w:eastAsia="en-IN"/>
        </w:rPr>
        <w:t>As a result, the current appeal regarding the validity of the minor's contract is allowed with the following instructions:-</w:t>
      </w:r>
    </w:p>
    <w:p w:rsidR="00582A58" w:rsidRPr="00582A58" w:rsidRDefault="00582A58" w:rsidP="00306ECA">
      <w:pPr>
        <w:pStyle w:val="ListParagraph"/>
        <w:numPr>
          <w:ilvl w:val="0"/>
          <w:numId w:val="8"/>
        </w:numPr>
        <w:spacing w:line="360" w:lineRule="auto"/>
        <w:jc w:val="both"/>
      </w:pPr>
      <w:r w:rsidRPr="00C10072">
        <w:rPr>
          <w:rFonts w:eastAsia="Times New Roman" w:cs="Times New Roman"/>
          <w:color w:val="1F1F1F"/>
          <w:szCs w:val="24"/>
          <w:lang w:eastAsia="en-IN"/>
        </w:rPr>
        <w:t xml:space="preserve">The mortgage deed of 1909-1910 executed in </w:t>
      </w:r>
      <w:proofErr w:type="spellStart"/>
      <w:r w:rsidRPr="00C10072">
        <w:rPr>
          <w:rFonts w:eastAsia="Times New Roman" w:cs="Times New Roman"/>
          <w:color w:val="1F1F1F"/>
          <w:szCs w:val="24"/>
          <w:lang w:eastAsia="en-IN"/>
        </w:rPr>
        <w:t>favour</w:t>
      </w:r>
      <w:proofErr w:type="spellEnd"/>
      <w:r w:rsidRPr="00C10072">
        <w:rPr>
          <w:rFonts w:eastAsia="Times New Roman" w:cs="Times New Roman"/>
          <w:color w:val="1F1F1F"/>
          <w:szCs w:val="24"/>
          <w:lang w:eastAsia="en-IN"/>
        </w:rPr>
        <w:t xml:space="preserve"> of the petitioner’s minor mother is declared legally valid and enforceable, as it falls under the executed contract exception to </w:t>
      </w:r>
      <w:r w:rsidR="00EF75D8">
        <w:rPr>
          <w:rFonts w:eastAsia="Times New Roman" w:cs="Times New Roman"/>
          <w:color w:val="1F1F1F"/>
          <w:szCs w:val="24"/>
          <w:lang w:eastAsia="en-IN"/>
        </w:rPr>
        <w:t>§</w:t>
      </w:r>
      <w:r w:rsidRPr="00C10072">
        <w:rPr>
          <w:rFonts w:eastAsia="Times New Roman" w:cs="Times New Roman"/>
          <w:color w:val="1F1F1F"/>
          <w:szCs w:val="24"/>
          <w:lang w:eastAsia="en-IN"/>
        </w:rPr>
        <w:t>11 of the ICA</w:t>
      </w:r>
      <w:r>
        <w:rPr>
          <w:rFonts w:eastAsia="Times New Roman" w:cs="Times New Roman"/>
          <w:color w:val="1F1F1F"/>
          <w:szCs w:val="24"/>
          <w:lang w:eastAsia="en-IN"/>
        </w:rPr>
        <w:t xml:space="preserve">. </w:t>
      </w:r>
    </w:p>
    <w:p w:rsidR="00582A58" w:rsidRDefault="00582A58" w:rsidP="00306ECA">
      <w:pPr>
        <w:pStyle w:val="ListParagraph"/>
        <w:numPr>
          <w:ilvl w:val="0"/>
          <w:numId w:val="8"/>
        </w:numPr>
        <w:spacing w:before="100" w:beforeAutospacing="1" w:after="150" w:line="360" w:lineRule="auto"/>
        <w:jc w:val="both"/>
        <w:rPr>
          <w:rFonts w:eastAsia="Times New Roman" w:cs="Times New Roman"/>
          <w:color w:val="1F1F1F"/>
          <w:szCs w:val="24"/>
          <w:lang w:eastAsia="en-IN"/>
        </w:rPr>
      </w:pPr>
      <w:r w:rsidRPr="00582A58">
        <w:rPr>
          <w:rFonts w:eastAsia="Times New Roman" w:cs="Times New Roman"/>
          <w:color w:val="1F1F1F"/>
          <w:szCs w:val="24"/>
          <w:lang w:eastAsia="en-IN"/>
        </w:rPr>
        <w:t xml:space="preserve">The petitioner is entitled to rely on the continuous possession of the property by his mother as a valid mortgagee to establish his claim </w:t>
      </w:r>
      <w:r w:rsidR="00EF75D8">
        <w:rPr>
          <w:rFonts w:eastAsia="Times New Roman" w:cs="Times New Roman"/>
          <w:color w:val="1F1F1F"/>
          <w:szCs w:val="24"/>
          <w:lang w:eastAsia="en-IN"/>
        </w:rPr>
        <w:t>for deemed tenancy under §</w:t>
      </w:r>
      <w:r w:rsidRPr="00582A58">
        <w:rPr>
          <w:rFonts w:eastAsia="Times New Roman" w:cs="Times New Roman"/>
          <w:color w:val="1F1F1F"/>
          <w:szCs w:val="24"/>
          <w:lang w:eastAsia="en-IN"/>
        </w:rPr>
        <w:t>4A of the K.L.R.</w:t>
      </w:r>
      <w:r>
        <w:rPr>
          <w:rFonts w:eastAsia="Times New Roman" w:cs="Times New Roman"/>
          <w:color w:val="1F1F1F"/>
          <w:szCs w:val="24"/>
          <w:lang w:eastAsia="en-IN"/>
        </w:rPr>
        <w:t xml:space="preserve"> Act, and the matter is sent</w:t>
      </w:r>
      <w:r w:rsidRPr="00582A58">
        <w:rPr>
          <w:rFonts w:eastAsia="Times New Roman" w:cs="Times New Roman"/>
          <w:color w:val="1F1F1F"/>
          <w:szCs w:val="24"/>
          <w:lang w:eastAsia="en-IN"/>
        </w:rPr>
        <w:t xml:space="preserve"> to the appropriate authority to settle the final ownership rights based on this valid possession.</w:t>
      </w:r>
    </w:p>
    <w:p w:rsidR="00EF75D8" w:rsidRPr="00582A58" w:rsidRDefault="00EF75D8" w:rsidP="00306ECA">
      <w:pPr>
        <w:pStyle w:val="ListParagraph"/>
        <w:numPr>
          <w:ilvl w:val="0"/>
          <w:numId w:val="8"/>
        </w:numPr>
        <w:spacing w:before="100" w:beforeAutospacing="1" w:after="150" w:line="360" w:lineRule="auto"/>
        <w:jc w:val="both"/>
        <w:rPr>
          <w:rFonts w:eastAsia="Times New Roman" w:cs="Times New Roman"/>
          <w:color w:val="1F1F1F"/>
          <w:szCs w:val="24"/>
          <w:lang w:eastAsia="en-IN"/>
        </w:rPr>
      </w:pPr>
      <w:r w:rsidRPr="00EF75D8">
        <w:rPr>
          <w:rFonts w:eastAsia="Times New Roman" w:cs="Times New Roman"/>
          <w:color w:val="1F1F1F"/>
          <w:szCs w:val="24"/>
          <w:lang w:eastAsia="en-IN"/>
        </w:rPr>
        <w:t xml:space="preserve">It is further directed that the legal heirs of the original mortgagor must be made parties to the proceedings, and the question of whether the original loan of 7,000 </w:t>
      </w:r>
      <w:proofErr w:type="spellStart"/>
      <w:r w:rsidRPr="00EF75D8">
        <w:rPr>
          <w:rFonts w:eastAsia="Times New Roman" w:cs="Times New Roman"/>
          <w:color w:val="1F1F1F"/>
          <w:szCs w:val="24"/>
          <w:lang w:eastAsia="en-IN"/>
        </w:rPr>
        <w:t>Chakram</w:t>
      </w:r>
      <w:proofErr w:type="spellEnd"/>
      <w:r w:rsidRPr="00EF75D8">
        <w:rPr>
          <w:rFonts w:eastAsia="Times New Roman" w:cs="Times New Roman"/>
          <w:color w:val="1F1F1F"/>
          <w:szCs w:val="24"/>
          <w:lang w:eastAsia="en-IN"/>
        </w:rPr>
        <w:t xml:space="preserve"> has been repaid or remains outstanding shall also be decided by the appropriate authority before final ownership rights are determined.</w:t>
      </w:r>
    </w:p>
    <w:p w:rsidR="00582A58" w:rsidRPr="00160FA9" w:rsidRDefault="00582A58" w:rsidP="00306ECA">
      <w:pPr>
        <w:pStyle w:val="ListParagraph"/>
        <w:spacing w:line="360" w:lineRule="auto"/>
        <w:ind w:left="1440"/>
        <w:jc w:val="both"/>
      </w:pPr>
      <w:bookmarkStart w:id="0" w:name="_GoBack"/>
      <w:bookmarkEnd w:id="0"/>
    </w:p>
    <w:p w:rsidR="00DF0CD2" w:rsidRDefault="00DF0CD2" w:rsidP="00306ECA">
      <w:pPr>
        <w:spacing w:line="360" w:lineRule="auto"/>
        <w:jc w:val="both"/>
      </w:pPr>
    </w:p>
    <w:p w:rsidR="000268FC" w:rsidRDefault="000268FC" w:rsidP="00306ECA">
      <w:pPr>
        <w:spacing w:line="360" w:lineRule="auto"/>
        <w:jc w:val="both"/>
      </w:pPr>
    </w:p>
    <w:sectPr w:rsidR="000268FC" w:rsidSect="001F3A7A">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2A9C" w:rsidRDefault="003F2A9C" w:rsidP="001F3A7A">
      <w:pPr>
        <w:spacing w:after="0" w:line="240" w:lineRule="auto"/>
      </w:pPr>
      <w:r>
        <w:separator/>
      </w:r>
    </w:p>
  </w:endnote>
  <w:endnote w:type="continuationSeparator" w:id="0">
    <w:p w:rsidR="003F2A9C" w:rsidRDefault="003F2A9C" w:rsidP="001F3A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udy Old Style Regular">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2A9C" w:rsidRDefault="003F2A9C" w:rsidP="001F3A7A">
      <w:pPr>
        <w:spacing w:after="0" w:line="240" w:lineRule="auto"/>
      </w:pPr>
      <w:r>
        <w:separator/>
      </w:r>
    </w:p>
  </w:footnote>
  <w:footnote w:type="continuationSeparator" w:id="0">
    <w:p w:rsidR="003F2A9C" w:rsidRDefault="003F2A9C" w:rsidP="001F3A7A">
      <w:pPr>
        <w:spacing w:after="0" w:line="240" w:lineRule="auto"/>
      </w:pPr>
      <w:r>
        <w:continuationSeparator/>
      </w:r>
    </w:p>
  </w:footnote>
  <w:footnote w:id="1">
    <w:p w:rsidR="001F3A7A" w:rsidRPr="001F3A7A" w:rsidRDefault="001F3A7A">
      <w:pPr>
        <w:pStyle w:val="FootnoteText"/>
        <w:rPr>
          <w:lang w:val="en-IN"/>
        </w:rPr>
      </w:pPr>
      <w:r>
        <w:rPr>
          <w:rStyle w:val="FootnoteReference"/>
        </w:rPr>
        <w:footnoteRef/>
      </w:r>
      <w:r>
        <w:t xml:space="preserve"> </w:t>
      </w:r>
      <w:r w:rsidR="002F2F0A" w:rsidRPr="002F2F0A">
        <w:rPr>
          <w:rFonts w:cs="Times New Roman"/>
        </w:rPr>
        <w:t xml:space="preserve">Mathai </w:t>
      </w:r>
      <w:proofErr w:type="spellStart"/>
      <w:r w:rsidR="002F2F0A" w:rsidRPr="002F2F0A">
        <w:rPr>
          <w:rFonts w:cs="Times New Roman"/>
        </w:rPr>
        <w:t>Mathai</w:t>
      </w:r>
      <w:proofErr w:type="spellEnd"/>
      <w:r w:rsidR="002F2F0A" w:rsidRPr="002F2F0A">
        <w:rPr>
          <w:rFonts w:cs="Times New Roman"/>
        </w:rPr>
        <w:t xml:space="preserve"> v. Joseph Mary, (2015) 5 SCC 622</w:t>
      </w:r>
      <w:r w:rsidR="002F2F0A">
        <w:rPr>
          <w:rFonts w:cs="Times New Roman"/>
        </w:rPr>
        <w:t>.</w:t>
      </w:r>
    </w:p>
  </w:footnote>
  <w:footnote w:id="2">
    <w:p w:rsidR="006577FE" w:rsidRPr="006577FE" w:rsidRDefault="006577FE">
      <w:pPr>
        <w:pStyle w:val="FootnoteText"/>
        <w:rPr>
          <w:lang w:val="en-IN"/>
        </w:rPr>
      </w:pPr>
      <w:r>
        <w:rPr>
          <w:rStyle w:val="FootnoteReference"/>
        </w:rPr>
        <w:footnoteRef/>
      </w:r>
      <w:r>
        <w:t xml:space="preserve"> </w:t>
      </w:r>
      <w:r w:rsidRPr="004C4F51">
        <w:t>Kerala Land Reforms Act, 1963 (Act 1 of 1964).</w:t>
      </w:r>
    </w:p>
  </w:footnote>
  <w:footnote w:id="3">
    <w:p w:rsidR="006577FE" w:rsidRPr="006577FE" w:rsidRDefault="006577FE">
      <w:pPr>
        <w:pStyle w:val="FootnoteText"/>
        <w:rPr>
          <w:lang w:val="en-IN"/>
        </w:rPr>
      </w:pPr>
      <w:r>
        <w:rPr>
          <w:rStyle w:val="FootnoteReference"/>
        </w:rPr>
        <w:footnoteRef/>
      </w:r>
      <w:r>
        <w:t xml:space="preserve"> </w:t>
      </w:r>
      <w:r>
        <w:rPr>
          <w:lang w:val="en-IN"/>
        </w:rPr>
        <w:t xml:space="preserve">Ibid </w:t>
      </w:r>
    </w:p>
  </w:footnote>
  <w:footnote w:id="4">
    <w:p w:rsidR="00CE43FC" w:rsidRPr="00CE43FC" w:rsidRDefault="00CE43FC">
      <w:pPr>
        <w:pStyle w:val="FootnoteText"/>
        <w:rPr>
          <w:lang w:val="en-IN"/>
        </w:rPr>
      </w:pPr>
      <w:r>
        <w:rPr>
          <w:rStyle w:val="FootnoteReference"/>
        </w:rPr>
        <w:footnoteRef/>
      </w:r>
      <w:r>
        <w:t xml:space="preserve"> The Indian Majority Act, 1875 (Act 9 of 1875).</w:t>
      </w:r>
    </w:p>
  </w:footnote>
  <w:footnote w:id="5">
    <w:p w:rsidR="00CE43FC" w:rsidRPr="00CE43FC" w:rsidRDefault="00CE43FC">
      <w:pPr>
        <w:pStyle w:val="FootnoteText"/>
      </w:pPr>
      <w:r>
        <w:rPr>
          <w:rStyle w:val="FootnoteReference"/>
        </w:rPr>
        <w:footnoteRef/>
      </w:r>
      <w:r>
        <w:t xml:space="preserve"> The </w:t>
      </w:r>
      <w:proofErr w:type="spellStart"/>
      <w:r w:rsidR="00306ECA">
        <w:t>kw</w:t>
      </w:r>
      <w:r>
        <w:t>Act</w:t>
      </w:r>
      <w:proofErr w:type="spellEnd"/>
      <w:r>
        <w:t xml:space="preserve"> § 11, 1872 (Act 9 of 1872).</w:t>
      </w:r>
    </w:p>
  </w:footnote>
  <w:footnote w:id="6">
    <w:p w:rsidR="00DE6EB3" w:rsidRPr="00DE6EB3" w:rsidRDefault="00DE6EB3">
      <w:pPr>
        <w:pStyle w:val="FootnoteText"/>
        <w:rPr>
          <w:lang w:val="en-IN"/>
        </w:rPr>
      </w:pPr>
      <w:r>
        <w:rPr>
          <w:rStyle w:val="FootnoteReference"/>
        </w:rPr>
        <w:footnoteRef/>
      </w:r>
      <w:r>
        <w:t xml:space="preserve"> </w:t>
      </w:r>
      <w:r>
        <w:rPr>
          <w:lang w:val="en-IN"/>
        </w:rPr>
        <w:t xml:space="preserve">Ibid </w:t>
      </w:r>
    </w:p>
  </w:footnote>
  <w:footnote w:id="7">
    <w:p w:rsidR="00C4679B" w:rsidRPr="00C4679B" w:rsidRDefault="00C4679B">
      <w:pPr>
        <w:pStyle w:val="FootnoteText"/>
        <w:rPr>
          <w:lang w:val="en-IN"/>
        </w:rPr>
      </w:pPr>
      <w:r>
        <w:rPr>
          <w:rStyle w:val="FootnoteReference"/>
        </w:rPr>
        <w:footnoteRef/>
      </w:r>
      <w:r>
        <w:t xml:space="preserve"> </w:t>
      </w:r>
      <w:proofErr w:type="spellStart"/>
      <w:r w:rsidRPr="00C4679B">
        <w:t>Mohori</w:t>
      </w:r>
      <w:proofErr w:type="spellEnd"/>
      <w:r w:rsidRPr="00C4679B">
        <w:t xml:space="preserve"> </w:t>
      </w:r>
      <w:proofErr w:type="spellStart"/>
      <w:r w:rsidRPr="00C4679B">
        <w:t>Bibee</w:t>
      </w:r>
      <w:proofErr w:type="spellEnd"/>
      <w:r w:rsidRPr="00C4679B">
        <w:t xml:space="preserve"> v. </w:t>
      </w:r>
      <w:proofErr w:type="spellStart"/>
      <w:r w:rsidRPr="00C4679B">
        <w:t>Dharmodas</w:t>
      </w:r>
      <w:proofErr w:type="spellEnd"/>
      <w:r w:rsidRPr="00C4679B">
        <w:t xml:space="preserve"> </w:t>
      </w:r>
      <w:proofErr w:type="spellStart"/>
      <w:r w:rsidRPr="00C4679B">
        <w:t>Ghose</w:t>
      </w:r>
      <w:proofErr w:type="spellEnd"/>
      <w:r w:rsidRPr="00C4679B">
        <w:t>, ILR (1903) 30 Cal 539 (PC).</w:t>
      </w:r>
    </w:p>
  </w:footnote>
  <w:footnote w:id="8">
    <w:p w:rsidR="00E65E5E" w:rsidRPr="00E65E5E" w:rsidRDefault="00E65E5E">
      <w:pPr>
        <w:pStyle w:val="FootnoteText"/>
        <w:rPr>
          <w:lang w:val="en-IN"/>
        </w:rPr>
      </w:pPr>
      <w:r>
        <w:rPr>
          <w:rStyle w:val="FootnoteReference"/>
        </w:rPr>
        <w:footnoteRef/>
      </w:r>
      <w:r>
        <w:t xml:space="preserve"> </w:t>
      </w:r>
      <w:r>
        <w:rPr>
          <w:lang w:val="en-IN"/>
        </w:rPr>
        <w:t>Supra 1</w:t>
      </w:r>
    </w:p>
  </w:footnote>
  <w:footnote w:id="9">
    <w:p w:rsidR="00C4679B" w:rsidRPr="00C4679B" w:rsidRDefault="00C4679B">
      <w:pPr>
        <w:pStyle w:val="FootnoteText"/>
        <w:rPr>
          <w:lang w:val="en-IN"/>
        </w:rPr>
      </w:pPr>
      <w:r>
        <w:rPr>
          <w:rStyle w:val="FootnoteReference"/>
        </w:rPr>
        <w:footnoteRef/>
      </w:r>
      <w:r>
        <w:t xml:space="preserve"> </w:t>
      </w:r>
      <w:r>
        <w:rPr>
          <w:lang w:val="en-IN"/>
        </w:rPr>
        <w:t xml:space="preserve">Supra </w:t>
      </w:r>
      <w:r w:rsidR="00191A95">
        <w:rPr>
          <w:lang w:val="en-IN"/>
        </w:rPr>
        <w:t>2.</w:t>
      </w:r>
    </w:p>
  </w:footnote>
  <w:footnote w:id="10">
    <w:p w:rsidR="00191A95" w:rsidRDefault="00191A95">
      <w:pPr>
        <w:pStyle w:val="FootnoteText"/>
      </w:pPr>
      <w:r>
        <w:rPr>
          <w:rStyle w:val="FootnoteReference"/>
        </w:rPr>
        <w:footnoteRef/>
      </w:r>
      <w:r>
        <w:t xml:space="preserve"> Supra 1.</w:t>
      </w:r>
    </w:p>
  </w:footnote>
  <w:footnote w:id="11">
    <w:p w:rsidR="00995ACE" w:rsidRDefault="00995ACE">
      <w:pPr>
        <w:pStyle w:val="FootnoteText"/>
      </w:pPr>
      <w:r>
        <w:rPr>
          <w:rStyle w:val="FootnoteReference"/>
        </w:rPr>
        <w:footnoteRef/>
      </w:r>
      <w:r>
        <w:t xml:space="preserve"> Supra 1. </w:t>
      </w:r>
    </w:p>
  </w:footnote>
  <w:footnote w:id="12">
    <w:p w:rsidR="000064AE" w:rsidRDefault="000064AE">
      <w:pPr>
        <w:pStyle w:val="FootnoteText"/>
      </w:pPr>
      <w:r>
        <w:rPr>
          <w:rStyle w:val="FootnoteReference"/>
        </w:rPr>
        <w:footnoteRef/>
      </w:r>
      <w:r>
        <w:t xml:space="preserve"> </w:t>
      </w:r>
      <w:r w:rsidRPr="000064AE">
        <w:t xml:space="preserve">A.T. </w:t>
      </w:r>
      <w:proofErr w:type="spellStart"/>
      <w:r w:rsidRPr="000064AE">
        <w:t>Raghava</w:t>
      </w:r>
      <w:proofErr w:type="spellEnd"/>
      <w:r w:rsidRPr="000064AE">
        <w:t xml:space="preserve"> </w:t>
      </w:r>
      <w:proofErr w:type="spellStart"/>
      <w:r w:rsidRPr="000064AE">
        <w:t>Chariar</w:t>
      </w:r>
      <w:proofErr w:type="spellEnd"/>
      <w:r w:rsidRPr="000064AE">
        <w:t xml:space="preserve"> v. O.A. </w:t>
      </w:r>
      <w:proofErr w:type="spellStart"/>
      <w:r w:rsidRPr="000064AE">
        <w:t>Srinivasa</w:t>
      </w:r>
      <w:proofErr w:type="spellEnd"/>
      <w:r w:rsidRPr="000064AE">
        <w:t xml:space="preserve"> </w:t>
      </w:r>
      <w:proofErr w:type="spellStart"/>
      <w:r w:rsidRPr="000064AE">
        <w:t>Raghava</w:t>
      </w:r>
      <w:proofErr w:type="spellEnd"/>
      <w:r w:rsidRPr="000064AE">
        <w:t xml:space="preserve"> </w:t>
      </w:r>
      <w:proofErr w:type="spellStart"/>
      <w:r w:rsidRPr="000064AE">
        <w:t>Chariar</w:t>
      </w:r>
      <w:proofErr w:type="spellEnd"/>
      <w:r w:rsidRPr="000064AE">
        <w:t>, (1916) 31 MLJ 575.</w:t>
      </w:r>
    </w:p>
  </w:footnote>
  <w:footnote w:id="13">
    <w:p w:rsidR="000064AE" w:rsidRDefault="000064AE">
      <w:pPr>
        <w:pStyle w:val="FootnoteText"/>
      </w:pPr>
      <w:r>
        <w:rPr>
          <w:rStyle w:val="FootnoteReference"/>
        </w:rPr>
        <w:footnoteRef/>
      </w:r>
      <w:r>
        <w:t xml:space="preserve"> </w:t>
      </w:r>
      <w:proofErr w:type="spellStart"/>
      <w:r w:rsidRPr="000064AE">
        <w:t>Hanmant</w:t>
      </w:r>
      <w:proofErr w:type="spellEnd"/>
      <w:r w:rsidRPr="000064AE">
        <w:t xml:space="preserve"> </w:t>
      </w:r>
      <w:proofErr w:type="spellStart"/>
      <w:r w:rsidRPr="000064AE">
        <w:t>Lakhshman</w:t>
      </w:r>
      <w:proofErr w:type="spellEnd"/>
      <w:r w:rsidRPr="000064AE">
        <w:t xml:space="preserve"> v. </w:t>
      </w:r>
      <w:proofErr w:type="spellStart"/>
      <w:r w:rsidRPr="000064AE">
        <w:t>Jayarao</w:t>
      </w:r>
      <w:proofErr w:type="spellEnd"/>
      <w:r w:rsidRPr="000064AE">
        <w:t xml:space="preserve"> </w:t>
      </w:r>
      <w:proofErr w:type="spellStart"/>
      <w:r w:rsidRPr="000064AE">
        <w:t>Narsinha</w:t>
      </w:r>
      <w:proofErr w:type="spellEnd"/>
      <w:r w:rsidRPr="000064AE">
        <w:t xml:space="preserve">, ILR (1888) 13 </w:t>
      </w:r>
      <w:proofErr w:type="spellStart"/>
      <w:r w:rsidRPr="000064AE">
        <w:t>Bom</w:t>
      </w:r>
      <w:proofErr w:type="spellEnd"/>
      <w:r w:rsidRPr="000064AE">
        <w:t xml:space="preserve"> 50.</w:t>
      </w:r>
    </w:p>
  </w:footnote>
  <w:footnote w:id="14">
    <w:p w:rsidR="007231BE" w:rsidRPr="007231BE" w:rsidRDefault="007231BE">
      <w:pPr>
        <w:pStyle w:val="FootnoteText"/>
        <w:rPr>
          <w:lang w:val="en-IN"/>
        </w:rPr>
      </w:pPr>
      <w:r>
        <w:rPr>
          <w:rStyle w:val="FootnoteReference"/>
        </w:rPr>
        <w:footnoteRef/>
      </w:r>
      <w:r>
        <w:t xml:space="preserve"> </w:t>
      </w:r>
      <w:proofErr w:type="spellStart"/>
      <w:r w:rsidRPr="007231BE">
        <w:t>Madhab</w:t>
      </w:r>
      <w:proofErr w:type="spellEnd"/>
      <w:r w:rsidRPr="007231BE">
        <w:t xml:space="preserve"> </w:t>
      </w:r>
      <w:proofErr w:type="spellStart"/>
      <w:r w:rsidRPr="007231BE">
        <w:t>Koeri</w:t>
      </w:r>
      <w:proofErr w:type="spellEnd"/>
      <w:r w:rsidRPr="007231BE">
        <w:t xml:space="preserve"> v. </w:t>
      </w:r>
      <w:proofErr w:type="spellStart"/>
      <w:r w:rsidRPr="007231BE">
        <w:t>Baikuntha</w:t>
      </w:r>
      <w:proofErr w:type="spellEnd"/>
      <w:r w:rsidRPr="007231BE">
        <w:t xml:space="preserve"> </w:t>
      </w:r>
      <w:proofErr w:type="spellStart"/>
      <w:r w:rsidRPr="007231BE">
        <w:t>Karmaker</w:t>
      </w:r>
      <w:proofErr w:type="spellEnd"/>
      <w:r w:rsidRPr="007231BE">
        <w:t xml:space="preserve"> And Others</w:t>
      </w:r>
      <w:r>
        <w:t>, 1919 AIR PAT 561.</w:t>
      </w:r>
    </w:p>
  </w:footnote>
  <w:footnote w:id="15">
    <w:p w:rsidR="00C43828" w:rsidRDefault="00C43828" w:rsidP="00C43828">
      <w:pPr>
        <w:pStyle w:val="FootnoteText"/>
      </w:pPr>
      <w:r>
        <w:rPr>
          <w:rStyle w:val="FootnoteReference"/>
        </w:rPr>
        <w:footnoteRef/>
      </w:r>
      <w:r>
        <w:t xml:space="preserve"> The </w:t>
      </w:r>
      <w:r w:rsidR="00B72EE0">
        <w:t>Transfer o</w:t>
      </w:r>
      <w:r>
        <w:t>f Property Act, 1882 (Act 4 of 1882).</w:t>
      </w:r>
    </w:p>
  </w:footnote>
  <w:footnote w:id="16">
    <w:p w:rsidR="002E615C" w:rsidRPr="002E615C" w:rsidRDefault="002E615C">
      <w:pPr>
        <w:pStyle w:val="FootnoteText"/>
        <w:rPr>
          <w:lang w:val="en-IN"/>
        </w:rPr>
      </w:pPr>
      <w:r>
        <w:rPr>
          <w:rStyle w:val="FootnoteReference"/>
        </w:rPr>
        <w:footnoteRef/>
      </w:r>
      <w:r>
        <w:t xml:space="preserve"> </w:t>
      </w:r>
      <w:proofErr w:type="spellStart"/>
      <w:r w:rsidRPr="002E615C">
        <w:t>Wadhwa</w:t>
      </w:r>
      <w:proofErr w:type="spellEnd"/>
      <w:r w:rsidRPr="002E615C">
        <w:t xml:space="preserve">, </w:t>
      </w:r>
      <w:proofErr w:type="spellStart"/>
      <w:r w:rsidRPr="002E615C">
        <w:t>Anirudh</w:t>
      </w:r>
      <w:proofErr w:type="spellEnd"/>
      <w:r w:rsidRPr="002E615C">
        <w:t xml:space="preserve">, Mathai </w:t>
      </w:r>
      <w:proofErr w:type="spellStart"/>
      <w:r w:rsidRPr="002E615C">
        <w:t>Mathai</w:t>
      </w:r>
      <w:proofErr w:type="spellEnd"/>
      <w:r w:rsidRPr="002E615C">
        <w:t xml:space="preserve"> v. Joseph Mary: A Step Backwards</w:t>
      </w:r>
      <w:proofErr w:type="gramStart"/>
      <w:r w:rsidRPr="002E615C">
        <w:t>?,</w:t>
      </w:r>
      <w:proofErr w:type="gramEnd"/>
      <w:r w:rsidRPr="002E615C">
        <w:t xml:space="preserve"> National Law School Business Law Review, Vol. 1: </w:t>
      </w:r>
      <w:proofErr w:type="spellStart"/>
      <w:r w:rsidRPr="002E615C">
        <w:t>Iss</w:t>
      </w:r>
      <w:proofErr w:type="spellEnd"/>
      <w:r w:rsidRPr="002E615C">
        <w:t>. 1, Article 10 (2015).</w:t>
      </w:r>
    </w:p>
  </w:footnote>
  <w:footnote w:id="17">
    <w:p w:rsidR="00156E69" w:rsidRDefault="00156E69">
      <w:pPr>
        <w:pStyle w:val="FootnoteText"/>
      </w:pPr>
      <w:r>
        <w:rPr>
          <w:rStyle w:val="FootnoteReference"/>
        </w:rPr>
        <w:footnoteRef/>
      </w:r>
      <w:r>
        <w:t xml:space="preserve"> Supra. </w:t>
      </w:r>
    </w:p>
  </w:footnote>
  <w:footnote w:id="18">
    <w:p w:rsidR="002E615C" w:rsidRPr="002E615C" w:rsidRDefault="002E615C">
      <w:pPr>
        <w:pStyle w:val="FootnoteText"/>
        <w:rPr>
          <w:lang w:val="en-IN"/>
        </w:rPr>
      </w:pPr>
      <w:r>
        <w:rPr>
          <w:rStyle w:val="FootnoteReference"/>
        </w:rPr>
        <w:footnoteRef/>
      </w:r>
      <w:r>
        <w:t xml:space="preserve"> </w:t>
      </w:r>
      <w:r w:rsidR="00156E69">
        <w:rPr>
          <w:lang w:val="en-IN"/>
        </w:rPr>
        <w:t>Ibid.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0771F1"/>
    <w:multiLevelType w:val="hybridMultilevel"/>
    <w:tmpl w:val="50EE3C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CE45EC"/>
    <w:multiLevelType w:val="hybridMultilevel"/>
    <w:tmpl w:val="E99CB6FA"/>
    <w:lvl w:ilvl="0" w:tplc="DD72E02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24C85308"/>
    <w:multiLevelType w:val="hybridMultilevel"/>
    <w:tmpl w:val="2984EF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nsid w:val="298C1F85"/>
    <w:multiLevelType w:val="multilevel"/>
    <w:tmpl w:val="EBFA7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9A061D9"/>
    <w:multiLevelType w:val="hybridMultilevel"/>
    <w:tmpl w:val="05DC1B5E"/>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nsid w:val="43C23169"/>
    <w:multiLevelType w:val="multilevel"/>
    <w:tmpl w:val="6B901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54E22D6"/>
    <w:multiLevelType w:val="hybridMultilevel"/>
    <w:tmpl w:val="37F28B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69F36597"/>
    <w:multiLevelType w:val="hybridMultilevel"/>
    <w:tmpl w:val="977AB4E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7"/>
  </w:num>
  <w:num w:numId="2">
    <w:abstractNumId w:val="0"/>
  </w:num>
  <w:num w:numId="3">
    <w:abstractNumId w:val="6"/>
  </w:num>
  <w:num w:numId="4">
    <w:abstractNumId w:val="1"/>
  </w:num>
  <w:num w:numId="5">
    <w:abstractNumId w:val="3"/>
  </w:num>
  <w:num w:numId="6">
    <w:abstractNumId w:val="2"/>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3A7A"/>
    <w:rsid w:val="000064AE"/>
    <w:rsid w:val="000268FC"/>
    <w:rsid w:val="000374B3"/>
    <w:rsid w:val="00056FFD"/>
    <w:rsid w:val="000B7A93"/>
    <w:rsid w:val="000D682A"/>
    <w:rsid w:val="001030D4"/>
    <w:rsid w:val="0010622E"/>
    <w:rsid w:val="00133E22"/>
    <w:rsid w:val="00155763"/>
    <w:rsid w:val="00156E69"/>
    <w:rsid w:val="00160FA9"/>
    <w:rsid w:val="00191A95"/>
    <w:rsid w:val="001F3A7A"/>
    <w:rsid w:val="00202A41"/>
    <w:rsid w:val="00240F10"/>
    <w:rsid w:val="002649BF"/>
    <w:rsid w:val="002978B8"/>
    <w:rsid w:val="002A73BA"/>
    <w:rsid w:val="002B4F75"/>
    <w:rsid w:val="002D78A2"/>
    <w:rsid w:val="002E615C"/>
    <w:rsid w:val="002F2F0A"/>
    <w:rsid w:val="00306ECA"/>
    <w:rsid w:val="0033375B"/>
    <w:rsid w:val="003B1A5C"/>
    <w:rsid w:val="003E164C"/>
    <w:rsid w:val="003F2A9C"/>
    <w:rsid w:val="003F7D5F"/>
    <w:rsid w:val="00403727"/>
    <w:rsid w:val="0048624C"/>
    <w:rsid w:val="004C4F51"/>
    <w:rsid w:val="004C6AA6"/>
    <w:rsid w:val="0052382B"/>
    <w:rsid w:val="00531D17"/>
    <w:rsid w:val="00582A58"/>
    <w:rsid w:val="005A6E42"/>
    <w:rsid w:val="006577FE"/>
    <w:rsid w:val="00684665"/>
    <w:rsid w:val="007231BE"/>
    <w:rsid w:val="00741D0D"/>
    <w:rsid w:val="007E7B74"/>
    <w:rsid w:val="008C71C6"/>
    <w:rsid w:val="008D461E"/>
    <w:rsid w:val="00973D63"/>
    <w:rsid w:val="00995ACE"/>
    <w:rsid w:val="009B2C75"/>
    <w:rsid w:val="009B69D5"/>
    <w:rsid w:val="009E7532"/>
    <w:rsid w:val="00AB12C1"/>
    <w:rsid w:val="00AC1CFE"/>
    <w:rsid w:val="00AD5DF2"/>
    <w:rsid w:val="00B72EE0"/>
    <w:rsid w:val="00C17AEF"/>
    <w:rsid w:val="00C43828"/>
    <w:rsid w:val="00C4679B"/>
    <w:rsid w:val="00C91E1E"/>
    <w:rsid w:val="00CA7861"/>
    <w:rsid w:val="00CB23DF"/>
    <w:rsid w:val="00CE43FC"/>
    <w:rsid w:val="00D7568C"/>
    <w:rsid w:val="00DE6EB3"/>
    <w:rsid w:val="00DF0CD2"/>
    <w:rsid w:val="00E57698"/>
    <w:rsid w:val="00E65E5E"/>
    <w:rsid w:val="00EE414C"/>
    <w:rsid w:val="00EF75D8"/>
    <w:rsid w:val="00F139A7"/>
    <w:rsid w:val="00F50F34"/>
    <w:rsid w:val="00F90D7D"/>
    <w:rsid w:val="00FA01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15CF5F-A349-4BD5-93E7-BD01D5DFC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3A7A"/>
    <w:rPr>
      <w:rFonts w:ascii="Times New Roman" w:hAnsi="Times New Roman"/>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utoRedefine/>
    <w:uiPriority w:val="1"/>
    <w:qFormat/>
    <w:rsid w:val="000268FC"/>
    <w:pPr>
      <w:pBdr>
        <w:top w:val="single" w:sz="4" w:space="1" w:color="auto"/>
        <w:left w:val="single" w:sz="4" w:space="4" w:color="auto"/>
        <w:bottom w:val="single" w:sz="4" w:space="1" w:color="auto"/>
        <w:right w:val="single" w:sz="4" w:space="4" w:color="auto"/>
      </w:pBdr>
      <w:spacing w:after="0" w:line="240" w:lineRule="auto"/>
      <w:jc w:val="center"/>
    </w:pPr>
    <w:rPr>
      <w:rFonts w:ascii="Times New Roman" w:hAnsi="Times New Roman"/>
      <w:b/>
      <w:sz w:val="24"/>
    </w:rPr>
  </w:style>
  <w:style w:type="paragraph" w:styleId="FootnoteText">
    <w:name w:val="footnote text"/>
    <w:basedOn w:val="Normal"/>
    <w:link w:val="FootnoteTextChar"/>
    <w:uiPriority w:val="99"/>
    <w:semiHidden/>
    <w:unhideWhenUsed/>
    <w:rsid w:val="001F3A7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3A7A"/>
    <w:rPr>
      <w:rFonts w:ascii="Times New Roman" w:hAnsi="Times New Roman"/>
      <w:sz w:val="20"/>
      <w:szCs w:val="20"/>
      <w:lang w:val="en-US"/>
    </w:rPr>
  </w:style>
  <w:style w:type="character" w:styleId="FootnoteReference">
    <w:name w:val="footnote reference"/>
    <w:basedOn w:val="DefaultParagraphFont"/>
    <w:uiPriority w:val="99"/>
    <w:semiHidden/>
    <w:unhideWhenUsed/>
    <w:rsid w:val="001F3A7A"/>
    <w:rPr>
      <w:vertAlign w:val="superscript"/>
    </w:rPr>
  </w:style>
  <w:style w:type="paragraph" w:styleId="ListParagraph">
    <w:name w:val="List Paragraph"/>
    <w:basedOn w:val="Normal"/>
    <w:uiPriority w:val="34"/>
    <w:qFormat/>
    <w:rsid w:val="000268FC"/>
    <w:pPr>
      <w:ind w:left="720"/>
      <w:contextualSpacing/>
    </w:pPr>
  </w:style>
  <w:style w:type="paragraph" w:styleId="NormalWeb">
    <w:name w:val="Normal (Web)"/>
    <w:basedOn w:val="Normal"/>
    <w:uiPriority w:val="99"/>
    <w:semiHidden/>
    <w:unhideWhenUsed/>
    <w:rsid w:val="003E164C"/>
    <w:pPr>
      <w:spacing w:before="100" w:beforeAutospacing="1" w:after="100" w:afterAutospacing="1" w:line="240" w:lineRule="auto"/>
    </w:pPr>
    <w:rPr>
      <w:rFonts w:eastAsia="Times New Roman" w:cs="Times New Roman"/>
      <w:szCs w:val="24"/>
      <w:lang w:val="en-IN" w:eastAsia="en-IN"/>
    </w:rPr>
  </w:style>
  <w:style w:type="paragraph" w:customStyle="1" w:styleId="font-claude-response-body">
    <w:name w:val="font-claude-response-body"/>
    <w:basedOn w:val="Normal"/>
    <w:rsid w:val="00E65E5E"/>
    <w:pPr>
      <w:spacing w:before="100" w:beforeAutospacing="1" w:after="100" w:afterAutospacing="1" w:line="240" w:lineRule="auto"/>
    </w:pPr>
    <w:rPr>
      <w:rFonts w:eastAsia="Times New Roman" w:cs="Times New Roman"/>
      <w:szCs w:val="24"/>
      <w:lang w:val="en-IN" w:eastAsia="en-IN"/>
    </w:rPr>
  </w:style>
  <w:style w:type="character" w:styleId="Emphasis">
    <w:name w:val="Emphasis"/>
    <w:basedOn w:val="DefaultParagraphFont"/>
    <w:uiPriority w:val="20"/>
    <w:qFormat/>
    <w:rsid w:val="00E65E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4179016">
      <w:bodyDiv w:val="1"/>
      <w:marLeft w:val="0"/>
      <w:marRight w:val="0"/>
      <w:marTop w:val="0"/>
      <w:marBottom w:val="0"/>
      <w:divBdr>
        <w:top w:val="none" w:sz="0" w:space="0" w:color="auto"/>
        <w:left w:val="none" w:sz="0" w:space="0" w:color="auto"/>
        <w:bottom w:val="none" w:sz="0" w:space="0" w:color="auto"/>
        <w:right w:val="none" w:sz="0" w:space="0" w:color="auto"/>
      </w:divBdr>
    </w:div>
    <w:div w:id="574826464">
      <w:bodyDiv w:val="1"/>
      <w:marLeft w:val="0"/>
      <w:marRight w:val="0"/>
      <w:marTop w:val="0"/>
      <w:marBottom w:val="0"/>
      <w:divBdr>
        <w:top w:val="none" w:sz="0" w:space="0" w:color="auto"/>
        <w:left w:val="none" w:sz="0" w:space="0" w:color="auto"/>
        <w:bottom w:val="none" w:sz="0" w:space="0" w:color="auto"/>
        <w:right w:val="none" w:sz="0" w:space="0" w:color="auto"/>
      </w:divBdr>
    </w:div>
    <w:div w:id="1063527445">
      <w:bodyDiv w:val="1"/>
      <w:marLeft w:val="0"/>
      <w:marRight w:val="0"/>
      <w:marTop w:val="0"/>
      <w:marBottom w:val="0"/>
      <w:divBdr>
        <w:top w:val="none" w:sz="0" w:space="0" w:color="auto"/>
        <w:left w:val="none" w:sz="0" w:space="0" w:color="auto"/>
        <w:bottom w:val="none" w:sz="0" w:space="0" w:color="auto"/>
        <w:right w:val="none" w:sz="0" w:space="0" w:color="auto"/>
      </w:divBdr>
    </w:div>
    <w:div w:id="1303076422">
      <w:bodyDiv w:val="1"/>
      <w:marLeft w:val="0"/>
      <w:marRight w:val="0"/>
      <w:marTop w:val="0"/>
      <w:marBottom w:val="0"/>
      <w:divBdr>
        <w:top w:val="none" w:sz="0" w:space="0" w:color="auto"/>
        <w:left w:val="none" w:sz="0" w:space="0" w:color="auto"/>
        <w:bottom w:val="none" w:sz="0" w:space="0" w:color="auto"/>
        <w:right w:val="none" w:sz="0" w:space="0" w:color="auto"/>
      </w:divBdr>
    </w:div>
    <w:div w:id="1849824848">
      <w:bodyDiv w:val="1"/>
      <w:marLeft w:val="0"/>
      <w:marRight w:val="0"/>
      <w:marTop w:val="0"/>
      <w:marBottom w:val="0"/>
      <w:divBdr>
        <w:top w:val="none" w:sz="0" w:space="0" w:color="auto"/>
        <w:left w:val="none" w:sz="0" w:space="0" w:color="auto"/>
        <w:bottom w:val="none" w:sz="0" w:space="0" w:color="auto"/>
        <w:right w:val="none" w:sz="0" w:space="0" w:color="auto"/>
      </w:divBdr>
    </w:div>
    <w:div w:id="2055887967">
      <w:bodyDiv w:val="1"/>
      <w:marLeft w:val="0"/>
      <w:marRight w:val="0"/>
      <w:marTop w:val="0"/>
      <w:marBottom w:val="0"/>
      <w:divBdr>
        <w:top w:val="none" w:sz="0" w:space="0" w:color="auto"/>
        <w:left w:val="none" w:sz="0" w:space="0" w:color="auto"/>
        <w:bottom w:val="none" w:sz="0" w:space="0" w:color="auto"/>
        <w:right w:val="none" w:sz="0" w:space="0" w:color="auto"/>
      </w:divBdr>
    </w:div>
    <w:div w:id="2103184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90F91B-DA51-45CF-B07F-AF3D98BC7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766</TotalTime>
  <Pages>1</Pages>
  <Words>1958</Words>
  <Characters>11161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27</cp:revision>
  <dcterms:created xsi:type="dcterms:W3CDTF">2026-02-26T18:02:00Z</dcterms:created>
  <dcterms:modified xsi:type="dcterms:W3CDTF">2026-03-21T10:23:00Z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da59d15b-9a88-4f85-b0d7-9cebb708c065</vt:lpwstr>
  </property>
</Properties>
</file>