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B365D"/>
          <w:sz w:val="28"/>
        </w:rPr>
        <w:t>Ideation Phase</w:t>
      </w:r>
    </w:p>
    <w:p>
      <w:pPr>
        <w:spacing w:after="240"/>
      </w:pPr>
      <w:r>
        <w:rPr>
          <w:b/>
          <w:color w:val="005A9E"/>
          <w:sz w:val="36"/>
        </w:rPr>
        <w:t>Brainstorm &amp; Idea Prioritization Template</w:t>
      </w:r>
    </w:p>
    <w:tbl>
      <w:tblPr>
        <w:tblW w:type="auto" w:w="0"/>
        <w:jc w:val="center"/>
        <w:tblLook w:firstColumn="1" w:firstRow="1" w:lastColumn="0" w:lastRow="0" w:noHBand="0" w:noVBand="1" w:val="04A0"/>
      </w:tblPr>
      <w:tblGrid>
        <w:gridCol w:w="4968"/>
        <w:gridCol w:w="4968"/>
      </w:tblGrid>
      <w:tr>
        <w:tc>
          <w:tcPr>
            <w:tcW w:type="dxa" w:w="2880"/>
            <w:shd w:val="clear" w:color="auto" w:fill="F0F4F8"/>
            <w:tcMar>
              <w:top w:w="80" w:type="dxa"/>
              <w:bottom w:w="80" w:type="dxa"/>
              <w:left w:w="120" w:type="dxa"/>
              <w:right w:w="120" w:type="dxa"/>
            </w:tcMar>
          </w:tcPr>
          <w:p>
            <w:r>
              <w:rPr>
                <w:b/>
                <w:color w:val="1B365D"/>
              </w:rPr>
              <w:t>Date:</w:t>
            </w:r>
          </w:p>
        </w:tc>
        <w:tc>
          <w:tcPr>
            <w:tcW w:type="dxa" w:w="6912"/>
            <w:shd w:val="clear" w:color="auto" w:fill="FFFFFF"/>
            <w:tcMar>
              <w:top w:w="80" w:type="dxa"/>
              <w:bottom w:w="80" w:type="dxa"/>
              <w:left w:w="120" w:type="dxa"/>
              <w:right w:w="120" w:type="dxa"/>
            </w:tcMar>
          </w:tcPr>
          <w:p>
            <w:r>
              <w:t>03 October 2026</w:t>
            </w:r>
          </w:p>
        </w:tc>
      </w:tr>
      <w:tr>
        <w:tc>
          <w:tcPr>
            <w:tcW w:type="dxa" w:w="2880"/>
            <w:shd w:val="clear" w:color="auto" w:fill="F0F4F8"/>
            <w:tcMar>
              <w:top w:w="80" w:type="dxa"/>
              <w:bottom w:w="80" w:type="dxa"/>
              <w:left w:w="120" w:type="dxa"/>
              <w:right w:w="120" w:type="dxa"/>
            </w:tcMar>
          </w:tcPr>
          <w:p>
            <w:r>
              <w:rPr>
                <w:b/>
                <w:color w:val="1B365D"/>
              </w:rPr>
              <w:t>Team ID:</w:t>
            </w:r>
          </w:p>
        </w:tc>
        <w:tc>
          <w:tcPr>
            <w:tcW w:type="dxa" w:w="6912"/>
            <w:shd w:val="clear" w:color="auto" w:fill="FFFFFF"/>
            <w:tcMar>
              <w:top w:w="80" w:type="dxa"/>
              <w:bottom w:w="80" w:type="dxa"/>
              <w:left w:w="120" w:type="dxa"/>
              <w:right w:w="120" w:type="dxa"/>
            </w:tcMar>
          </w:tcPr>
          <w:p>
            <w:r>
              <w:t>SWTID-2026-3257</w:t>
            </w:r>
          </w:p>
        </w:tc>
      </w:tr>
      <w:tr>
        <w:tc>
          <w:tcPr>
            <w:tcW w:type="dxa" w:w="2880"/>
            <w:shd w:val="clear" w:color="auto" w:fill="F0F4F8"/>
            <w:tcMar>
              <w:top w:w="80" w:type="dxa"/>
              <w:bottom w:w="80" w:type="dxa"/>
              <w:left w:w="120" w:type="dxa"/>
              <w:right w:w="120" w:type="dxa"/>
            </w:tcMar>
          </w:tcPr>
          <w:p>
            <w:r>
              <w:rPr>
                <w:b/>
                <w:color w:val="1B365D"/>
              </w:rPr>
              <w:t>Project Name:</w:t>
            </w:r>
          </w:p>
        </w:tc>
        <w:tc>
          <w:tcPr>
            <w:tcW w:type="dxa" w:w="6912"/>
            <w:shd w:val="clear" w:color="auto" w:fill="FFFFFF"/>
            <w:tcMar>
              <w:top w:w="80" w:type="dxa"/>
              <w:bottom w:w="80" w:type="dxa"/>
              <w:left w:w="120" w:type="dxa"/>
              <w:right w:w="120" w:type="dxa"/>
            </w:tcMar>
          </w:tcPr>
          <w:p>
            <w:r>
              <w:t>Implement Client Script &amp; UI Policy (Incident Table)</w:t>
            </w:r>
          </w:p>
        </w:tc>
      </w:tr>
      <w:tr>
        <w:tc>
          <w:tcPr>
            <w:tcW w:type="dxa" w:w="2880"/>
            <w:shd w:val="clear" w:color="auto" w:fill="F0F4F8"/>
            <w:tcMar>
              <w:top w:w="80" w:type="dxa"/>
              <w:bottom w:w="80" w:type="dxa"/>
              <w:left w:w="120" w:type="dxa"/>
              <w:right w:w="120" w:type="dxa"/>
            </w:tcMar>
          </w:tcPr>
          <w:p>
            <w:r>
              <w:rPr>
                <w:b/>
                <w:color w:val="1B365D"/>
              </w:rPr>
              <w:t>Maximum Marks:</w:t>
            </w:r>
          </w:p>
        </w:tc>
        <w:tc>
          <w:tcPr>
            <w:tcW w:type="dxa" w:w="6912"/>
            <w:shd w:val="clear" w:color="auto" w:fill="FFFFFF"/>
            <w:tcMar>
              <w:top w:w="80" w:type="dxa"/>
              <w:bottom w:w="80" w:type="dxa"/>
              <w:left w:w="120" w:type="dxa"/>
              <w:right w:w="120" w:type="dxa"/>
            </w:tcMar>
          </w:tcPr>
          <w:p>
            <w:r>
              <w:t>4 Marks</w:t>
            </w:r>
          </w:p>
        </w:tc>
      </w:tr>
    </w:tbl>
    <w:p>
      <w:pPr>
        <w:spacing w:after="240"/>
      </w:pPr>
    </w:p>
    <w:p>
      <w:pPr>
        <w:spacing w:after="240"/>
      </w:pPr>
      <w:r>
        <w:t>Brainstorming provides a free and open environment that encourages team members to participate in the creative thinking process. Prioritizing volume over value, innovative ideas are generated, grouped into themes, and prioritized based on Feasibility and Impact/Importance.</w:t>
      </w:r>
    </w:p>
    <w:p>
      <w:r>
        <w:rPr>
          <w:b/>
          <w:color w:val="1B365D"/>
          <w:sz w:val="28"/>
        </w:rPr>
        <w:t>Step-1: Team Gathering, Collaboration &amp; Problem Statement Selection</w:t>
      </w:r>
    </w:p>
    <w:p>
      <w:pPr>
        <w:spacing w:after="160"/>
        <w:ind w:left="288"/>
      </w:pPr>
      <w:r>
        <w:rPr>
          <w:b/>
          <w:color w:val="005A9E"/>
        </w:rPr>
        <w:t xml:space="preserve">How Might We (HMW) Statement: </w:t>
      </w:r>
      <w:r>
        <w:t>"How might we dynamically control form field behaviors (visibility, mandatory requirements, and read-only states) on the Incident form using UI Policies and Client Scripts so that Service Desk Analysts can log and resolve tickets faster with zero data errors?"</w:t>
      </w:r>
    </w:p>
    <w:p>
      <w:r>
        <w:rPr>
          <w:b/>
          <w:color w:val="1B365D"/>
          <w:sz w:val="28"/>
        </w:rPr>
        <w:t>Step-2: Brainstorm, Idea Listing and Grouping</w:t>
      </w:r>
    </w:p>
    <w:tbl>
      <w:tblPr>
        <w:tblW w:type="auto" w:w="0"/>
        <w:jc w:val="center"/>
        <w:tblLook w:firstColumn="1" w:firstRow="1" w:lastColumn="0" w:lastRow="0" w:noHBand="0" w:noVBand="1" w:val="04A0"/>
      </w:tblPr>
      <w:tblGrid>
        <w:gridCol w:w="2484"/>
        <w:gridCol w:w="2484"/>
        <w:gridCol w:w="2484"/>
        <w:gridCol w:w="2484"/>
      </w:tblGrid>
      <w:tr>
        <w:tc>
          <w:tcPr>
            <w:tcW w:type="dxa" w:w="1152"/>
            <w:shd w:val="clear" w:color="auto" w:fill="1B365D"/>
            <w:tcMar>
              <w:top w:w="100" w:type="dxa"/>
              <w:bottom w:w="100" w:type="dxa"/>
              <w:left w:w="80" w:type="dxa"/>
              <w:right w:w="80" w:type="dxa"/>
            </w:tcMar>
          </w:tcPr>
          <w:p>
            <w:r>
              <w:rPr>
                <w:b/>
                <w:color w:val="FFFFFF"/>
                <w:sz w:val="19"/>
              </w:rPr>
              <w:t>Idea ID</w:t>
            </w:r>
          </w:p>
        </w:tc>
        <w:tc>
          <w:tcPr>
            <w:tcW w:type="dxa" w:w="3312"/>
            <w:shd w:val="clear" w:color="auto" w:fill="1B365D"/>
            <w:tcMar>
              <w:top w:w="100" w:type="dxa"/>
              <w:bottom w:w="100" w:type="dxa"/>
              <w:left w:w="80" w:type="dxa"/>
              <w:right w:w="80" w:type="dxa"/>
            </w:tcMar>
          </w:tcPr>
          <w:p>
            <w:r>
              <w:rPr>
                <w:b/>
                <w:color w:val="FFFFFF"/>
                <w:sz w:val="19"/>
              </w:rPr>
              <w:t>Idea Description</w:t>
            </w:r>
          </w:p>
        </w:tc>
        <w:tc>
          <w:tcPr>
            <w:tcW w:type="dxa" w:w="2160"/>
            <w:shd w:val="clear" w:color="auto" w:fill="1B365D"/>
            <w:tcMar>
              <w:top w:w="100" w:type="dxa"/>
              <w:bottom w:w="100" w:type="dxa"/>
              <w:left w:w="80" w:type="dxa"/>
              <w:right w:w="80" w:type="dxa"/>
            </w:tcMar>
          </w:tcPr>
          <w:p>
            <w:r>
              <w:rPr>
                <w:b/>
                <w:color w:val="FFFFFF"/>
                <w:sz w:val="19"/>
              </w:rPr>
              <w:t>Category / Group</w:t>
            </w:r>
          </w:p>
        </w:tc>
        <w:tc>
          <w:tcPr>
            <w:tcW w:type="dxa" w:w="3168"/>
            <w:shd w:val="clear" w:color="auto" w:fill="1B365D"/>
            <w:tcMar>
              <w:top w:w="100" w:type="dxa"/>
              <w:bottom w:w="100" w:type="dxa"/>
              <w:left w:w="80" w:type="dxa"/>
              <w:right w:w="80" w:type="dxa"/>
            </w:tcMar>
          </w:tcPr>
          <w:p>
            <w:r>
              <w:rPr>
                <w:b/>
                <w:color w:val="FFFFFF"/>
                <w:sz w:val="19"/>
              </w:rPr>
              <w:t>Proposed Technical Approach</w:t>
            </w:r>
          </w:p>
        </w:tc>
      </w:tr>
      <w:tr>
        <w:tc>
          <w:tcPr>
            <w:tcW w:type="dxa" w:w="1152"/>
            <w:shd w:val="clear" w:color="auto" w:fill="FFFFFF"/>
            <w:tcMar>
              <w:top w:w="80" w:type="dxa"/>
              <w:bottom w:w="80" w:type="dxa"/>
              <w:left w:w="80" w:type="dxa"/>
              <w:right w:w="80" w:type="dxa"/>
            </w:tcMar>
          </w:tcPr>
          <w:p>
            <w:pPr>
              <w:spacing w:line="276" w:lineRule="auto" w:after="40"/>
            </w:pPr>
            <w:r>
              <w:rPr>
                <w:b/>
                <w:color w:val="005A9E"/>
                <w:sz w:val="18"/>
              </w:rPr>
              <w:t>Idea 1</w:t>
            </w:r>
          </w:p>
        </w:tc>
        <w:tc>
          <w:tcPr>
            <w:tcW w:type="dxa" w:w="3312"/>
            <w:shd w:val="clear" w:color="auto" w:fill="FFFFFF"/>
            <w:tcMar>
              <w:top w:w="80" w:type="dxa"/>
              <w:bottom w:w="80" w:type="dxa"/>
              <w:left w:w="80" w:type="dxa"/>
              <w:right w:w="80" w:type="dxa"/>
            </w:tcMar>
          </w:tcPr>
          <w:p>
            <w:pPr>
              <w:spacing w:line="276" w:lineRule="auto" w:after="40"/>
            </w:pPr>
            <w:r>
              <w:rPr>
                <w:sz w:val="18"/>
              </w:rPr>
              <w:t>Dynamically reveal 'Resolution Code' and 'Resolution Notes' only when ticket state becomes 'Resolved'.</w:t>
            </w:r>
          </w:p>
        </w:tc>
        <w:tc>
          <w:tcPr>
            <w:tcW w:type="dxa" w:w="2160"/>
            <w:shd w:val="clear" w:color="auto" w:fill="FFFFFF"/>
            <w:tcMar>
              <w:top w:w="80" w:type="dxa"/>
              <w:bottom w:w="80" w:type="dxa"/>
              <w:left w:w="80" w:type="dxa"/>
              <w:right w:w="80" w:type="dxa"/>
            </w:tcMar>
          </w:tcPr>
          <w:p>
            <w:pPr>
              <w:spacing w:line="276" w:lineRule="auto" w:after="40"/>
            </w:pPr>
            <w:r>
              <w:rPr>
                <w:sz w:val="18"/>
              </w:rPr>
              <w:t>Dynamic Form Visibility</w:t>
            </w:r>
          </w:p>
        </w:tc>
        <w:tc>
          <w:tcPr>
            <w:tcW w:type="dxa" w:w="3168"/>
            <w:shd w:val="clear" w:color="auto" w:fill="FFFFFF"/>
            <w:tcMar>
              <w:top w:w="80" w:type="dxa"/>
              <w:bottom w:w="80" w:type="dxa"/>
              <w:left w:w="80" w:type="dxa"/>
              <w:right w:w="80" w:type="dxa"/>
            </w:tcMar>
          </w:tcPr>
          <w:p>
            <w:pPr>
              <w:spacing w:line="276" w:lineRule="auto" w:after="40"/>
            </w:pPr>
            <w:r>
              <w:rPr>
                <w:sz w:val="18"/>
              </w:rPr>
              <w:t>UI Policy on Incident table with condition [State is Resolved]. Set Visible = True for resolution fields.</w:t>
            </w:r>
          </w:p>
        </w:tc>
      </w:tr>
      <w:tr>
        <w:tc>
          <w:tcPr>
            <w:tcW w:type="dxa" w:w="1152"/>
            <w:shd w:val="clear" w:color="auto" w:fill="F4F6F9"/>
            <w:tcMar>
              <w:top w:w="80" w:type="dxa"/>
              <w:bottom w:w="80" w:type="dxa"/>
              <w:left w:w="80" w:type="dxa"/>
              <w:right w:w="80" w:type="dxa"/>
            </w:tcMar>
          </w:tcPr>
          <w:p>
            <w:pPr>
              <w:spacing w:line="276" w:lineRule="auto" w:after="40"/>
            </w:pPr>
            <w:r>
              <w:rPr>
                <w:b/>
                <w:color w:val="005A9E"/>
                <w:sz w:val="18"/>
              </w:rPr>
              <w:t>Idea 2</w:t>
            </w:r>
          </w:p>
        </w:tc>
        <w:tc>
          <w:tcPr>
            <w:tcW w:type="dxa" w:w="3312"/>
            <w:shd w:val="clear" w:color="auto" w:fill="F4F6F9"/>
            <w:tcMar>
              <w:top w:w="80" w:type="dxa"/>
              <w:bottom w:w="80" w:type="dxa"/>
              <w:left w:w="80" w:type="dxa"/>
              <w:right w:w="80" w:type="dxa"/>
            </w:tcMar>
          </w:tcPr>
          <w:p>
            <w:pPr>
              <w:spacing w:line="276" w:lineRule="auto" w:after="40"/>
            </w:pPr>
            <w:r>
              <w:rPr>
                <w:sz w:val="18"/>
              </w:rPr>
              <w:t>Enforce 'Work Notes' and 'Assignment Group' as mandatory when Priority is Critical (P1) or High (P2).</w:t>
            </w:r>
          </w:p>
        </w:tc>
        <w:tc>
          <w:tcPr>
            <w:tcW w:type="dxa" w:w="2160"/>
            <w:shd w:val="clear" w:color="auto" w:fill="F4F6F9"/>
            <w:tcMar>
              <w:top w:w="80" w:type="dxa"/>
              <w:bottom w:w="80" w:type="dxa"/>
              <w:left w:w="80" w:type="dxa"/>
              <w:right w:w="80" w:type="dxa"/>
            </w:tcMar>
          </w:tcPr>
          <w:p>
            <w:pPr>
              <w:spacing w:line="276" w:lineRule="auto" w:after="40"/>
            </w:pPr>
            <w:r>
              <w:rPr>
                <w:sz w:val="18"/>
              </w:rPr>
              <w:t>Mandatory Field Rules</w:t>
            </w:r>
          </w:p>
        </w:tc>
        <w:tc>
          <w:tcPr>
            <w:tcW w:type="dxa" w:w="3168"/>
            <w:shd w:val="clear" w:color="auto" w:fill="F4F6F9"/>
            <w:tcMar>
              <w:top w:w="80" w:type="dxa"/>
              <w:bottom w:w="80" w:type="dxa"/>
              <w:left w:w="80" w:type="dxa"/>
              <w:right w:w="80" w:type="dxa"/>
            </w:tcMar>
          </w:tcPr>
          <w:p>
            <w:pPr>
              <w:spacing w:line="276" w:lineRule="auto" w:after="40"/>
            </w:pPr>
            <w:r>
              <w:rPr>
                <w:sz w:val="18"/>
              </w:rPr>
              <w:t>UI Policy with condition [Priority IS ONE OF P1, P2]. Set Mandatory = True for Work Notes.</w:t>
            </w:r>
          </w:p>
        </w:tc>
      </w:tr>
      <w:tr>
        <w:tc>
          <w:tcPr>
            <w:tcW w:type="dxa" w:w="1152"/>
            <w:shd w:val="clear" w:color="auto" w:fill="FFFFFF"/>
            <w:tcMar>
              <w:top w:w="80" w:type="dxa"/>
              <w:bottom w:w="80" w:type="dxa"/>
              <w:left w:w="80" w:type="dxa"/>
              <w:right w:w="80" w:type="dxa"/>
            </w:tcMar>
          </w:tcPr>
          <w:p>
            <w:pPr>
              <w:spacing w:line="276" w:lineRule="auto" w:after="40"/>
            </w:pPr>
            <w:r>
              <w:rPr>
                <w:b/>
                <w:color w:val="005A9E"/>
                <w:sz w:val="18"/>
              </w:rPr>
              <w:t>Idea 3</w:t>
            </w:r>
          </w:p>
        </w:tc>
        <w:tc>
          <w:tcPr>
            <w:tcW w:type="dxa" w:w="3312"/>
            <w:shd w:val="clear" w:color="auto" w:fill="FFFFFF"/>
            <w:tcMar>
              <w:top w:w="80" w:type="dxa"/>
              <w:bottom w:w="80" w:type="dxa"/>
              <w:left w:w="80" w:type="dxa"/>
              <w:right w:w="80" w:type="dxa"/>
            </w:tcMar>
          </w:tcPr>
          <w:p>
            <w:pPr>
              <w:spacing w:line="276" w:lineRule="auto" w:after="40"/>
            </w:pPr>
            <w:r>
              <w:rPr>
                <w:sz w:val="18"/>
              </w:rPr>
              <w:t>Lock all fields to Read-Only automatically once the Incident ticket reaches 'Closed' state.</w:t>
            </w:r>
          </w:p>
        </w:tc>
        <w:tc>
          <w:tcPr>
            <w:tcW w:type="dxa" w:w="2160"/>
            <w:shd w:val="clear" w:color="auto" w:fill="FFFFFF"/>
            <w:tcMar>
              <w:top w:w="80" w:type="dxa"/>
              <w:bottom w:w="80" w:type="dxa"/>
              <w:left w:w="80" w:type="dxa"/>
              <w:right w:w="80" w:type="dxa"/>
            </w:tcMar>
          </w:tcPr>
          <w:p>
            <w:pPr>
              <w:spacing w:line="276" w:lineRule="auto" w:after="40"/>
            </w:pPr>
            <w:r>
              <w:rPr>
                <w:sz w:val="18"/>
              </w:rPr>
              <w:t>Data Integrity &amp; Governance</w:t>
            </w:r>
          </w:p>
        </w:tc>
        <w:tc>
          <w:tcPr>
            <w:tcW w:type="dxa" w:w="3168"/>
            <w:shd w:val="clear" w:color="auto" w:fill="FFFFFF"/>
            <w:tcMar>
              <w:top w:w="80" w:type="dxa"/>
              <w:bottom w:w="80" w:type="dxa"/>
              <w:left w:w="80" w:type="dxa"/>
              <w:right w:w="80" w:type="dxa"/>
            </w:tcMar>
          </w:tcPr>
          <w:p>
            <w:pPr>
              <w:spacing w:line="276" w:lineRule="auto" w:after="40"/>
            </w:pPr>
            <w:r>
              <w:rPr>
                <w:sz w:val="18"/>
              </w:rPr>
              <w:t>UI Policy with condition [State is Closed]. Set Read-Only = True for all editable core fields.</w:t>
            </w:r>
          </w:p>
        </w:tc>
      </w:tr>
      <w:tr>
        <w:tc>
          <w:tcPr>
            <w:tcW w:type="dxa" w:w="1152"/>
            <w:shd w:val="clear" w:color="auto" w:fill="F4F6F9"/>
            <w:tcMar>
              <w:top w:w="80" w:type="dxa"/>
              <w:bottom w:w="80" w:type="dxa"/>
              <w:left w:w="80" w:type="dxa"/>
              <w:right w:w="80" w:type="dxa"/>
            </w:tcMar>
          </w:tcPr>
          <w:p>
            <w:pPr>
              <w:spacing w:line="276" w:lineRule="auto" w:after="40"/>
            </w:pPr>
            <w:r>
              <w:rPr>
                <w:b/>
                <w:color w:val="005A9E"/>
                <w:sz w:val="18"/>
              </w:rPr>
              <w:t>Idea 4</w:t>
            </w:r>
          </w:p>
        </w:tc>
        <w:tc>
          <w:tcPr>
            <w:tcW w:type="dxa" w:w="3312"/>
            <w:shd w:val="clear" w:color="auto" w:fill="F4F6F9"/>
            <w:tcMar>
              <w:top w:w="80" w:type="dxa"/>
              <w:bottom w:w="80" w:type="dxa"/>
              <w:left w:w="80" w:type="dxa"/>
              <w:right w:w="80" w:type="dxa"/>
            </w:tcMar>
          </w:tcPr>
          <w:p>
            <w:pPr>
              <w:spacing w:line="276" w:lineRule="auto" w:after="40"/>
            </w:pPr>
            <w:r>
              <w:rPr>
                <w:sz w:val="18"/>
              </w:rPr>
              <w:t>Auto-calculate Incident Priority dynamically on the client side when Impact or Urgency dropdown changes.</w:t>
            </w:r>
          </w:p>
        </w:tc>
        <w:tc>
          <w:tcPr>
            <w:tcW w:type="dxa" w:w="2160"/>
            <w:shd w:val="clear" w:color="auto" w:fill="F4F6F9"/>
            <w:tcMar>
              <w:top w:w="80" w:type="dxa"/>
              <w:bottom w:w="80" w:type="dxa"/>
              <w:left w:w="80" w:type="dxa"/>
              <w:right w:w="80" w:type="dxa"/>
            </w:tcMar>
          </w:tcPr>
          <w:p>
            <w:pPr>
              <w:spacing w:line="276" w:lineRule="auto" w:after="40"/>
            </w:pPr>
            <w:r>
              <w:rPr>
                <w:sz w:val="18"/>
              </w:rPr>
              <w:t>Real-time Client Scripts</w:t>
            </w:r>
          </w:p>
        </w:tc>
        <w:tc>
          <w:tcPr>
            <w:tcW w:type="dxa" w:w="3168"/>
            <w:shd w:val="clear" w:color="auto" w:fill="F4F6F9"/>
            <w:tcMar>
              <w:top w:w="80" w:type="dxa"/>
              <w:bottom w:w="80" w:type="dxa"/>
              <w:left w:w="80" w:type="dxa"/>
              <w:right w:w="80" w:type="dxa"/>
            </w:tcMar>
          </w:tcPr>
          <w:p>
            <w:pPr>
              <w:spacing w:line="276" w:lineRule="auto" w:after="40"/>
            </w:pPr>
            <w:r>
              <w:rPr>
                <w:sz w:val="18"/>
              </w:rPr>
              <w:t>onChange Client Script on 'Impact' and 'Urgency' fields using g_form.setValue() without server roundtrip.</w:t>
            </w:r>
          </w:p>
        </w:tc>
      </w:tr>
      <w:tr>
        <w:tc>
          <w:tcPr>
            <w:tcW w:type="dxa" w:w="1152"/>
            <w:shd w:val="clear" w:color="auto" w:fill="FFFFFF"/>
            <w:tcMar>
              <w:top w:w="80" w:type="dxa"/>
              <w:bottom w:w="80" w:type="dxa"/>
              <w:left w:w="80" w:type="dxa"/>
              <w:right w:w="80" w:type="dxa"/>
            </w:tcMar>
          </w:tcPr>
          <w:p>
            <w:pPr>
              <w:spacing w:line="276" w:lineRule="auto" w:after="40"/>
            </w:pPr>
            <w:r>
              <w:rPr>
                <w:b/>
                <w:color w:val="005A9E"/>
                <w:sz w:val="18"/>
              </w:rPr>
              <w:t>Idea 5</w:t>
            </w:r>
          </w:p>
        </w:tc>
        <w:tc>
          <w:tcPr>
            <w:tcW w:type="dxa" w:w="3312"/>
            <w:shd w:val="clear" w:color="auto" w:fill="FFFFFF"/>
            <w:tcMar>
              <w:top w:w="80" w:type="dxa"/>
              <w:bottom w:w="80" w:type="dxa"/>
              <w:left w:w="80" w:type="dxa"/>
              <w:right w:w="80" w:type="dxa"/>
            </w:tcMar>
          </w:tcPr>
          <w:p>
            <w:pPr>
              <w:spacing w:line="276" w:lineRule="auto" w:after="40"/>
            </w:pPr>
            <w:r>
              <w:rPr>
                <w:sz w:val="18"/>
              </w:rPr>
              <w:t>Populate dynamic alert and confirm prompts when changing Category to 'Hardware' or 'Network'.</w:t>
            </w:r>
          </w:p>
        </w:tc>
        <w:tc>
          <w:tcPr>
            <w:tcW w:type="dxa" w:w="2160"/>
            <w:shd w:val="clear" w:color="auto" w:fill="FFFFFF"/>
            <w:tcMar>
              <w:top w:w="80" w:type="dxa"/>
              <w:bottom w:w="80" w:type="dxa"/>
              <w:left w:w="80" w:type="dxa"/>
              <w:right w:w="80" w:type="dxa"/>
            </w:tcMar>
          </w:tcPr>
          <w:p>
            <w:pPr>
              <w:spacing w:line="276" w:lineRule="auto" w:after="40"/>
            </w:pPr>
            <w:r>
              <w:rPr>
                <w:sz w:val="18"/>
              </w:rPr>
              <w:t>User Guidance &amp; Validation</w:t>
            </w:r>
          </w:p>
        </w:tc>
        <w:tc>
          <w:tcPr>
            <w:tcW w:type="dxa" w:w="3168"/>
            <w:shd w:val="clear" w:color="auto" w:fill="FFFFFF"/>
            <w:tcMar>
              <w:top w:w="80" w:type="dxa"/>
              <w:bottom w:w="80" w:type="dxa"/>
              <w:left w:w="80" w:type="dxa"/>
              <w:right w:w="80" w:type="dxa"/>
            </w:tcMar>
          </w:tcPr>
          <w:p>
            <w:pPr>
              <w:spacing w:line="276" w:lineRule="auto" w:after="40"/>
            </w:pPr>
            <w:r>
              <w:rPr>
                <w:sz w:val="18"/>
              </w:rPr>
              <w:t>onChange Client Script prompting analyst with recommended diagnostic steps before ticket assignment.</w:t>
            </w:r>
          </w:p>
        </w:tc>
      </w:tr>
      <w:tr>
        <w:tc>
          <w:tcPr>
            <w:tcW w:type="dxa" w:w="1152"/>
            <w:shd w:val="clear" w:color="auto" w:fill="F4F6F9"/>
            <w:tcMar>
              <w:top w:w="80" w:type="dxa"/>
              <w:bottom w:w="80" w:type="dxa"/>
              <w:left w:w="80" w:type="dxa"/>
              <w:right w:w="80" w:type="dxa"/>
            </w:tcMar>
          </w:tcPr>
          <w:p>
            <w:pPr>
              <w:spacing w:line="276" w:lineRule="auto" w:after="40"/>
            </w:pPr>
            <w:r>
              <w:rPr>
                <w:b/>
                <w:color w:val="005A9E"/>
                <w:sz w:val="18"/>
              </w:rPr>
              <w:t>Idea 6</w:t>
            </w:r>
          </w:p>
        </w:tc>
        <w:tc>
          <w:tcPr>
            <w:tcW w:type="dxa" w:w="3312"/>
            <w:shd w:val="clear" w:color="auto" w:fill="F4F6F9"/>
            <w:tcMar>
              <w:top w:w="80" w:type="dxa"/>
              <w:bottom w:w="80" w:type="dxa"/>
              <w:left w:w="80" w:type="dxa"/>
              <w:right w:w="80" w:type="dxa"/>
            </w:tcMar>
          </w:tcPr>
          <w:p>
            <w:pPr>
              <w:spacing w:line="276" w:lineRule="auto" w:after="40"/>
            </w:pPr>
            <w:r>
              <w:rPr>
                <w:sz w:val="18"/>
              </w:rPr>
              <w:t>Clear resolution notes automatically if state is reverted back from 'Resolved' to 'In Progress'.</w:t>
            </w:r>
          </w:p>
        </w:tc>
        <w:tc>
          <w:tcPr>
            <w:tcW w:type="dxa" w:w="2160"/>
            <w:shd w:val="clear" w:color="auto" w:fill="F4F6F9"/>
            <w:tcMar>
              <w:top w:w="80" w:type="dxa"/>
              <w:bottom w:w="80" w:type="dxa"/>
              <w:left w:w="80" w:type="dxa"/>
              <w:right w:w="80" w:type="dxa"/>
            </w:tcMar>
          </w:tcPr>
          <w:p>
            <w:pPr>
              <w:spacing w:line="276" w:lineRule="auto" w:after="40"/>
            </w:pPr>
            <w:r>
              <w:rPr>
                <w:sz w:val="18"/>
              </w:rPr>
              <w:t>State Reset Handling</w:t>
            </w:r>
          </w:p>
        </w:tc>
        <w:tc>
          <w:tcPr>
            <w:tcW w:type="dxa" w:w="3168"/>
            <w:shd w:val="clear" w:color="auto" w:fill="F4F6F9"/>
            <w:tcMar>
              <w:top w:w="80" w:type="dxa"/>
              <w:bottom w:w="80" w:type="dxa"/>
              <w:left w:w="80" w:type="dxa"/>
              <w:right w:w="80" w:type="dxa"/>
            </w:tcMar>
          </w:tcPr>
          <w:p>
            <w:pPr>
              <w:spacing w:line="276" w:lineRule="auto" w:after="40"/>
            </w:pPr>
            <w:r>
              <w:rPr>
                <w:sz w:val="18"/>
              </w:rPr>
              <w:t>UI Policy Action / Client Script resetting 'Resolution Notes' value upon state change.</w:t>
            </w:r>
          </w:p>
        </w:tc>
      </w:tr>
    </w:tbl>
    <w:p>
      <w:pPr>
        <w:spacing w:after="240"/>
      </w:pPr>
    </w:p>
    <w:p>
      <w:r>
        <w:rPr>
          <w:b/>
          <w:color w:val="1B365D"/>
          <w:sz w:val="28"/>
        </w:rPr>
        <w:t>Step-3: Idea Prioritization (Feasibility vs Importance Matrix)</w:t>
      </w:r>
    </w:p>
    <w:p>
      <w:pPr>
        <w:spacing w:after="160"/>
      </w:pPr>
      <w:r>
        <w:t>To evaluate which ideas should be implemented first, each brain-stormed concept is plotted on a Prioritization Matrix comparing Feasibility (ease of implementation, low complexity, zero performance overhead) against Importance (business value, compliance, time saved).</w:t>
      </w:r>
    </w:p>
    <w:tbl>
      <w:tblPr>
        <w:tblW w:type="auto" w:w="0"/>
        <w:jc w:val="center"/>
        <w:tblLook w:firstColumn="1" w:firstRow="1" w:lastColumn="0" w:lastRow="0" w:noHBand="0" w:noVBand="1" w:val="04A0"/>
      </w:tblPr>
      <w:tblGrid>
        <w:gridCol w:w="1987"/>
        <w:gridCol w:w="1987"/>
        <w:gridCol w:w="1987"/>
        <w:gridCol w:w="1987"/>
        <w:gridCol w:w="1987"/>
      </w:tblGrid>
      <w:tr>
        <w:tc>
          <w:tcPr>
            <w:tcW w:type="dxa" w:w="1152"/>
            <w:shd w:val="clear" w:color="auto" w:fill="1B365D"/>
            <w:tcMar>
              <w:top w:w="100" w:type="dxa"/>
              <w:bottom w:w="100" w:type="dxa"/>
              <w:left w:w="80" w:type="dxa"/>
              <w:right w:w="80" w:type="dxa"/>
            </w:tcMar>
          </w:tcPr>
          <w:p>
            <w:r>
              <w:rPr>
                <w:b/>
                <w:color w:val="FFFFFF"/>
                <w:sz w:val="19"/>
              </w:rPr>
              <w:t>Idea ID</w:t>
            </w:r>
          </w:p>
        </w:tc>
        <w:tc>
          <w:tcPr>
            <w:tcW w:type="dxa" w:w="3168"/>
            <w:shd w:val="clear" w:color="auto" w:fill="1B365D"/>
            <w:tcMar>
              <w:top w:w="100" w:type="dxa"/>
              <w:bottom w:w="100" w:type="dxa"/>
              <w:left w:w="80" w:type="dxa"/>
              <w:right w:w="80" w:type="dxa"/>
            </w:tcMar>
          </w:tcPr>
          <w:p>
            <w:r>
              <w:rPr>
                <w:b/>
                <w:color w:val="FFFFFF"/>
                <w:sz w:val="19"/>
              </w:rPr>
              <w:t>Idea Title</w:t>
            </w:r>
          </w:p>
        </w:tc>
        <w:tc>
          <w:tcPr>
            <w:tcW w:type="dxa" w:w="1728"/>
            <w:shd w:val="clear" w:color="auto" w:fill="1B365D"/>
            <w:tcMar>
              <w:top w:w="100" w:type="dxa"/>
              <w:bottom w:w="100" w:type="dxa"/>
              <w:left w:w="80" w:type="dxa"/>
              <w:right w:w="80" w:type="dxa"/>
            </w:tcMar>
          </w:tcPr>
          <w:p>
            <w:r>
              <w:rPr>
                <w:b/>
                <w:color w:val="FFFFFF"/>
                <w:sz w:val="19"/>
              </w:rPr>
              <w:t>Importance (Impact)</w:t>
            </w:r>
          </w:p>
        </w:tc>
        <w:tc>
          <w:tcPr>
            <w:tcW w:type="dxa" w:w="1728"/>
            <w:shd w:val="clear" w:color="auto" w:fill="1B365D"/>
            <w:tcMar>
              <w:top w:w="100" w:type="dxa"/>
              <w:bottom w:w="100" w:type="dxa"/>
              <w:left w:w="80" w:type="dxa"/>
              <w:right w:w="80" w:type="dxa"/>
            </w:tcMar>
          </w:tcPr>
          <w:p>
            <w:r>
              <w:rPr>
                <w:b/>
                <w:color w:val="FFFFFF"/>
                <w:sz w:val="19"/>
              </w:rPr>
              <w:t>Feasibility (Ease)</w:t>
            </w:r>
          </w:p>
        </w:tc>
        <w:tc>
          <w:tcPr>
            <w:tcW w:type="dxa" w:w="2016"/>
            <w:shd w:val="clear" w:color="auto" w:fill="1B365D"/>
            <w:tcMar>
              <w:top w:w="100" w:type="dxa"/>
              <w:bottom w:w="100" w:type="dxa"/>
              <w:left w:w="80" w:type="dxa"/>
              <w:right w:w="80" w:type="dxa"/>
            </w:tcMar>
          </w:tcPr>
          <w:p>
            <w:r>
              <w:rPr>
                <w:b/>
                <w:color w:val="FFFFFF"/>
                <w:sz w:val="19"/>
              </w:rPr>
              <w:t>Priority Quadrant / Action</w:t>
            </w:r>
          </w:p>
        </w:tc>
      </w:tr>
      <w:tr>
        <w:tc>
          <w:tcPr>
            <w:tcW w:type="dxa" w:w="1152"/>
            <w:shd w:val="clear" w:color="auto" w:fill="FFFFFF"/>
            <w:tcMar>
              <w:top w:w="80" w:type="dxa"/>
              <w:bottom w:w="80" w:type="dxa"/>
              <w:left w:w="80" w:type="dxa"/>
              <w:right w:w="80" w:type="dxa"/>
            </w:tcMar>
          </w:tcPr>
          <w:p>
            <w:pPr>
              <w:spacing w:line="276" w:lineRule="auto" w:after="40"/>
            </w:pPr>
            <w:r>
              <w:rPr>
                <w:b/>
                <w:color w:val="005A9E"/>
                <w:sz w:val="18"/>
              </w:rPr>
              <w:t>Idea 1</w:t>
            </w:r>
          </w:p>
        </w:tc>
        <w:tc>
          <w:tcPr>
            <w:tcW w:type="dxa" w:w="3168"/>
            <w:shd w:val="clear" w:color="auto" w:fill="FFFFFF"/>
            <w:tcMar>
              <w:top w:w="80" w:type="dxa"/>
              <w:bottom w:w="80" w:type="dxa"/>
              <w:left w:w="80" w:type="dxa"/>
              <w:right w:w="80" w:type="dxa"/>
            </w:tcMar>
          </w:tcPr>
          <w:p>
            <w:pPr>
              <w:spacing w:line="276" w:lineRule="auto" w:after="40"/>
            </w:pPr>
            <w:r>
              <w:rPr>
                <w:sz w:val="18"/>
              </w:rPr>
              <w:t>State-based Resolution Field Visibility</w:t>
            </w:r>
          </w:p>
        </w:tc>
        <w:tc>
          <w:tcPr>
            <w:tcW w:type="dxa" w:w="1728"/>
            <w:shd w:val="clear" w:color="auto" w:fill="FFFFFF"/>
            <w:tcMar>
              <w:top w:w="80" w:type="dxa"/>
              <w:bottom w:w="80" w:type="dxa"/>
              <w:left w:w="80" w:type="dxa"/>
              <w:right w:w="80" w:type="dxa"/>
            </w:tcMar>
          </w:tcPr>
          <w:p>
            <w:pPr>
              <w:spacing w:line="276" w:lineRule="auto" w:after="40"/>
            </w:pPr>
            <w:r>
              <w:rPr>
                <w:sz w:val="18"/>
              </w:rPr>
              <w:t>High</w:t>
            </w:r>
          </w:p>
        </w:tc>
        <w:tc>
          <w:tcPr>
            <w:tcW w:type="dxa" w:w="1728"/>
            <w:shd w:val="clear" w:color="auto" w:fill="FFFFFF"/>
            <w:tcMar>
              <w:top w:w="80" w:type="dxa"/>
              <w:bottom w:w="80" w:type="dxa"/>
              <w:left w:w="80" w:type="dxa"/>
              <w:right w:w="80" w:type="dxa"/>
            </w:tcMar>
          </w:tcPr>
          <w:p>
            <w:pPr>
              <w:spacing w:line="276" w:lineRule="auto" w:after="40"/>
            </w:pPr>
            <w:r>
              <w:rPr>
                <w:sz w:val="18"/>
              </w:rPr>
              <w:t>High</w:t>
            </w:r>
          </w:p>
        </w:tc>
        <w:tc>
          <w:tcPr>
            <w:tcW w:type="dxa" w:w="2016"/>
            <w:shd w:val="clear" w:color="auto" w:fill="FFFFFF"/>
            <w:tcMar>
              <w:top w:w="80" w:type="dxa"/>
              <w:bottom w:w="80" w:type="dxa"/>
              <w:left w:w="80" w:type="dxa"/>
              <w:right w:w="80" w:type="dxa"/>
            </w:tcMar>
          </w:tcPr>
          <w:p>
            <w:pPr>
              <w:spacing w:line="276" w:lineRule="auto" w:after="40"/>
            </w:pPr>
            <w:r>
              <w:rPr>
                <w:b/>
                <w:color w:val="166534"/>
                <w:sz w:val="18"/>
              </w:rPr>
              <w:t>Quick Win (High Prio)</w:t>
            </w:r>
          </w:p>
        </w:tc>
      </w:tr>
      <w:tr>
        <w:tc>
          <w:tcPr>
            <w:tcW w:type="dxa" w:w="1152"/>
            <w:shd w:val="clear" w:color="auto" w:fill="F4F6F9"/>
            <w:tcMar>
              <w:top w:w="80" w:type="dxa"/>
              <w:bottom w:w="80" w:type="dxa"/>
              <w:left w:w="80" w:type="dxa"/>
              <w:right w:w="80" w:type="dxa"/>
            </w:tcMar>
          </w:tcPr>
          <w:p>
            <w:pPr>
              <w:spacing w:line="276" w:lineRule="auto" w:after="40"/>
            </w:pPr>
            <w:r>
              <w:rPr>
                <w:b/>
                <w:color w:val="005A9E"/>
                <w:sz w:val="18"/>
              </w:rPr>
              <w:t>Idea 2</w:t>
            </w:r>
          </w:p>
        </w:tc>
        <w:tc>
          <w:tcPr>
            <w:tcW w:type="dxa" w:w="3168"/>
            <w:shd w:val="clear" w:color="auto" w:fill="F4F6F9"/>
            <w:tcMar>
              <w:top w:w="80" w:type="dxa"/>
              <w:bottom w:w="80" w:type="dxa"/>
              <w:left w:w="80" w:type="dxa"/>
              <w:right w:w="80" w:type="dxa"/>
            </w:tcMar>
          </w:tcPr>
          <w:p>
            <w:pPr>
              <w:spacing w:line="276" w:lineRule="auto" w:after="40"/>
            </w:pPr>
            <w:r>
              <w:rPr>
                <w:sz w:val="18"/>
              </w:rPr>
              <w:t>Critical Priority Mandatory Rules</w:t>
            </w:r>
          </w:p>
        </w:tc>
        <w:tc>
          <w:tcPr>
            <w:tcW w:type="dxa" w:w="1728"/>
            <w:shd w:val="clear" w:color="auto" w:fill="F4F6F9"/>
            <w:tcMar>
              <w:top w:w="80" w:type="dxa"/>
              <w:bottom w:w="80" w:type="dxa"/>
              <w:left w:w="80" w:type="dxa"/>
              <w:right w:w="80" w:type="dxa"/>
            </w:tcMar>
          </w:tcPr>
          <w:p>
            <w:pPr>
              <w:spacing w:line="276" w:lineRule="auto" w:after="40"/>
            </w:pPr>
            <w:r>
              <w:rPr>
                <w:sz w:val="18"/>
              </w:rPr>
              <w:t>High</w:t>
            </w:r>
          </w:p>
        </w:tc>
        <w:tc>
          <w:tcPr>
            <w:tcW w:type="dxa" w:w="1728"/>
            <w:shd w:val="clear" w:color="auto" w:fill="F4F6F9"/>
            <w:tcMar>
              <w:top w:w="80" w:type="dxa"/>
              <w:bottom w:w="80" w:type="dxa"/>
              <w:left w:w="80" w:type="dxa"/>
              <w:right w:w="80" w:type="dxa"/>
            </w:tcMar>
          </w:tcPr>
          <w:p>
            <w:pPr>
              <w:spacing w:line="276" w:lineRule="auto" w:after="40"/>
            </w:pPr>
            <w:r>
              <w:rPr>
                <w:sz w:val="18"/>
              </w:rPr>
              <w:t>High</w:t>
            </w:r>
          </w:p>
        </w:tc>
        <w:tc>
          <w:tcPr>
            <w:tcW w:type="dxa" w:w="2016"/>
            <w:shd w:val="clear" w:color="auto" w:fill="F4F6F9"/>
            <w:tcMar>
              <w:top w:w="80" w:type="dxa"/>
              <w:bottom w:w="80" w:type="dxa"/>
              <w:left w:w="80" w:type="dxa"/>
              <w:right w:w="80" w:type="dxa"/>
            </w:tcMar>
          </w:tcPr>
          <w:p>
            <w:pPr>
              <w:spacing w:line="276" w:lineRule="auto" w:after="40"/>
            </w:pPr>
            <w:r>
              <w:rPr>
                <w:b/>
                <w:color w:val="166534"/>
                <w:sz w:val="18"/>
              </w:rPr>
              <w:t>Quick Win (High Prio)</w:t>
            </w:r>
          </w:p>
        </w:tc>
      </w:tr>
      <w:tr>
        <w:tc>
          <w:tcPr>
            <w:tcW w:type="dxa" w:w="1152"/>
            <w:shd w:val="clear" w:color="auto" w:fill="FFFFFF"/>
            <w:tcMar>
              <w:top w:w="80" w:type="dxa"/>
              <w:bottom w:w="80" w:type="dxa"/>
              <w:left w:w="80" w:type="dxa"/>
              <w:right w:w="80" w:type="dxa"/>
            </w:tcMar>
          </w:tcPr>
          <w:p>
            <w:pPr>
              <w:spacing w:line="276" w:lineRule="auto" w:after="40"/>
            </w:pPr>
            <w:r>
              <w:rPr>
                <w:b/>
                <w:color w:val="005A9E"/>
                <w:sz w:val="18"/>
              </w:rPr>
              <w:t>Idea 3</w:t>
            </w:r>
          </w:p>
        </w:tc>
        <w:tc>
          <w:tcPr>
            <w:tcW w:type="dxa" w:w="3168"/>
            <w:shd w:val="clear" w:color="auto" w:fill="FFFFFF"/>
            <w:tcMar>
              <w:top w:w="80" w:type="dxa"/>
              <w:bottom w:w="80" w:type="dxa"/>
              <w:left w:w="80" w:type="dxa"/>
              <w:right w:w="80" w:type="dxa"/>
            </w:tcMar>
          </w:tcPr>
          <w:p>
            <w:pPr>
              <w:spacing w:line="276" w:lineRule="auto" w:after="40"/>
            </w:pPr>
            <w:r>
              <w:rPr>
                <w:sz w:val="18"/>
              </w:rPr>
              <w:t>Closed State Read-Only Protection</w:t>
            </w:r>
          </w:p>
        </w:tc>
        <w:tc>
          <w:tcPr>
            <w:tcW w:type="dxa" w:w="1728"/>
            <w:shd w:val="clear" w:color="auto" w:fill="FFFFFF"/>
            <w:tcMar>
              <w:top w:w="80" w:type="dxa"/>
              <w:bottom w:w="80" w:type="dxa"/>
              <w:left w:w="80" w:type="dxa"/>
              <w:right w:w="80" w:type="dxa"/>
            </w:tcMar>
          </w:tcPr>
          <w:p>
            <w:pPr>
              <w:spacing w:line="276" w:lineRule="auto" w:after="40"/>
            </w:pPr>
            <w:r>
              <w:rPr>
                <w:sz w:val="18"/>
              </w:rPr>
              <w:t>High</w:t>
            </w:r>
          </w:p>
        </w:tc>
        <w:tc>
          <w:tcPr>
            <w:tcW w:type="dxa" w:w="1728"/>
            <w:shd w:val="clear" w:color="auto" w:fill="FFFFFF"/>
            <w:tcMar>
              <w:top w:w="80" w:type="dxa"/>
              <w:bottom w:w="80" w:type="dxa"/>
              <w:left w:w="80" w:type="dxa"/>
              <w:right w:w="80" w:type="dxa"/>
            </w:tcMar>
          </w:tcPr>
          <w:p>
            <w:pPr>
              <w:spacing w:line="276" w:lineRule="auto" w:after="40"/>
            </w:pPr>
            <w:r>
              <w:rPr>
                <w:sz w:val="18"/>
              </w:rPr>
              <w:t>High</w:t>
            </w:r>
          </w:p>
        </w:tc>
        <w:tc>
          <w:tcPr>
            <w:tcW w:type="dxa" w:w="2016"/>
            <w:shd w:val="clear" w:color="auto" w:fill="FFFFFF"/>
            <w:tcMar>
              <w:top w:w="80" w:type="dxa"/>
              <w:bottom w:w="80" w:type="dxa"/>
              <w:left w:w="80" w:type="dxa"/>
              <w:right w:w="80" w:type="dxa"/>
            </w:tcMar>
          </w:tcPr>
          <w:p>
            <w:pPr>
              <w:spacing w:line="276" w:lineRule="auto" w:after="40"/>
            </w:pPr>
            <w:r>
              <w:rPr>
                <w:b/>
                <w:color w:val="166534"/>
                <w:sz w:val="18"/>
              </w:rPr>
              <w:t>Quick Win (High Prio)</w:t>
            </w:r>
          </w:p>
        </w:tc>
      </w:tr>
      <w:tr>
        <w:tc>
          <w:tcPr>
            <w:tcW w:type="dxa" w:w="1152"/>
            <w:shd w:val="clear" w:color="auto" w:fill="F4F6F9"/>
            <w:tcMar>
              <w:top w:w="80" w:type="dxa"/>
              <w:bottom w:w="80" w:type="dxa"/>
              <w:left w:w="80" w:type="dxa"/>
              <w:right w:w="80" w:type="dxa"/>
            </w:tcMar>
          </w:tcPr>
          <w:p>
            <w:pPr>
              <w:spacing w:line="276" w:lineRule="auto" w:after="40"/>
            </w:pPr>
            <w:r>
              <w:rPr>
                <w:b/>
                <w:color w:val="005A9E"/>
                <w:sz w:val="18"/>
              </w:rPr>
              <w:t>Idea 4</w:t>
            </w:r>
          </w:p>
        </w:tc>
        <w:tc>
          <w:tcPr>
            <w:tcW w:type="dxa" w:w="3168"/>
            <w:shd w:val="clear" w:color="auto" w:fill="F4F6F9"/>
            <w:tcMar>
              <w:top w:w="80" w:type="dxa"/>
              <w:bottom w:w="80" w:type="dxa"/>
              <w:left w:w="80" w:type="dxa"/>
              <w:right w:w="80" w:type="dxa"/>
            </w:tcMar>
          </w:tcPr>
          <w:p>
            <w:pPr>
              <w:spacing w:line="276" w:lineRule="auto" w:after="40"/>
            </w:pPr>
            <w:r>
              <w:rPr>
                <w:sz w:val="18"/>
              </w:rPr>
              <w:t>Real-Time Priority Auto-Calculation</w:t>
            </w:r>
          </w:p>
        </w:tc>
        <w:tc>
          <w:tcPr>
            <w:tcW w:type="dxa" w:w="1728"/>
            <w:shd w:val="clear" w:color="auto" w:fill="F4F6F9"/>
            <w:tcMar>
              <w:top w:w="80" w:type="dxa"/>
              <w:bottom w:w="80" w:type="dxa"/>
              <w:left w:w="80" w:type="dxa"/>
              <w:right w:w="80" w:type="dxa"/>
            </w:tcMar>
          </w:tcPr>
          <w:p>
            <w:pPr>
              <w:spacing w:line="276" w:lineRule="auto" w:after="40"/>
            </w:pPr>
            <w:r>
              <w:rPr>
                <w:sz w:val="18"/>
              </w:rPr>
              <w:t>Medium</w:t>
            </w:r>
          </w:p>
        </w:tc>
        <w:tc>
          <w:tcPr>
            <w:tcW w:type="dxa" w:w="1728"/>
            <w:shd w:val="clear" w:color="auto" w:fill="F4F6F9"/>
            <w:tcMar>
              <w:top w:w="80" w:type="dxa"/>
              <w:bottom w:w="80" w:type="dxa"/>
              <w:left w:w="80" w:type="dxa"/>
              <w:right w:w="80" w:type="dxa"/>
            </w:tcMar>
          </w:tcPr>
          <w:p>
            <w:pPr>
              <w:spacing w:line="276" w:lineRule="auto" w:after="40"/>
            </w:pPr>
            <w:r>
              <w:rPr>
                <w:sz w:val="18"/>
              </w:rPr>
              <w:t>High</w:t>
            </w:r>
          </w:p>
        </w:tc>
        <w:tc>
          <w:tcPr>
            <w:tcW w:type="dxa" w:w="2016"/>
            <w:shd w:val="clear" w:color="auto" w:fill="F4F6F9"/>
            <w:tcMar>
              <w:top w:w="80" w:type="dxa"/>
              <w:bottom w:w="80" w:type="dxa"/>
              <w:left w:w="80" w:type="dxa"/>
              <w:right w:w="80" w:type="dxa"/>
            </w:tcMar>
          </w:tcPr>
          <w:p>
            <w:pPr>
              <w:spacing w:line="276" w:lineRule="auto" w:after="40"/>
            </w:pPr>
            <w:r>
              <w:rPr>
                <w:b/>
                <w:color w:val="166534"/>
                <w:sz w:val="18"/>
              </w:rPr>
              <w:t>Quick Win (Medium Prio)</w:t>
            </w:r>
          </w:p>
        </w:tc>
      </w:tr>
      <w:tr>
        <w:tc>
          <w:tcPr>
            <w:tcW w:type="dxa" w:w="1152"/>
            <w:shd w:val="clear" w:color="auto" w:fill="FFFFFF"/>
            <w:tcMar>
              <w:top w:w="80" w:type="dxa"/>
              <w:bottom w:w="80" w:type="dxa"/>
              <w:left w:w="80" w:type="dxa"/>
              <w:right w:w="80" w:type="dxa"/>
            </w:tcMar>
          </w:tcPr>
          <w:p>
            <w:pPr>
              <w:spacing w:line="276" w:lineRule="auto" w:after="40"/>
            </w:pPr>
            <w:r>
              <w:rPr>
                <w:b/>
                <w:color w:val="005A9E"/>
                <w:sz w:val="18"/>
              </w:rPr>
              <w:t>Idea 5</w:t>
            </w:r>
          </w:p>
        </w:tc>
        <w:tc>
          <w:tcPr>
            <w:tcW w:type="dxa" w:w="3168"/>
            <w:shd w:val="clear" w:color="auto" w:fill="FFFFFF"/>
            <w:tcMar>
              <w:top w:w="80" w:type="dxa"/>
              <w:bottom w:w="80" w:type="dxa"/>
              <w:left w:w="80" w:type="dxa"/>
              <w:right w:w="80" w:type="dxa"/>
            </w:tcMar>
          </w:tcPr>
          <w:p>
            <w:pPr>
              <w:spacing w:line="276" w:lineRule="auto" w:after="40"/>
            </w:pPr>
            <w:r>
              <w:rPr>
                <w:sz w:val="18"/>
              </w:rPr>
              <w:t>Interactive Category Guidance Prompts</w:t>
            </w:r>
          </w:p>
        </w:tc>
        <w:tc>
          <w:tcPr>
            <w:tcW w:type="dxa" w:w="1728"/>
            <w:shd w:val="clear" w:color="auto" w:fill="FFFFFF"/>
            <w:tcMar>
              <w:top w:w="80" w:type="dxa"/>
              <w:bottom w:w="80" w:type="dxa"/>
              <w:left w:w="80" w:type="dxa"/>
              <w:right w:w="80" w:type="dxa"/>
            </w:tcMar>
          </w:tcPr>
          <w:p>
            <w:pPr>
              <w:spacing w:line="276" w:lineRule="auto" w:after="40"/>
            </w:pPr>
            <w:r>
              <w:rPr>
                <w:sz w:val="18"/>
              </w:rPr>
              <w:t>Medium</w:t>
            </w:r>
          </w:p>
        </w:tc>
        <w:tc>
          <w:tcPr>
            <w:tcW w:type="dxa" w:w="1728"/>
            <w:shd w:val="clear" w:color="auto" w:fill="FFFFFF"/>
            <w:tcMar>
              <w:top w:w="80" w:type="dxa"/>
              <w:bottom w:w="80" w:type="dxa"/>
              <w:left w:w="80" w:type="dxa"/>
              <w:right w:w="80" w:type="dxa"/>
            </w:tcMar>
          </w:tcPr>
          <w:p>
            <w:pPr>
              <w:spacing w:line="276" w:lineRule="auto" w:after="40"/>
            </w:pPr>
            <w:r>
              <w:rPr>
                <w:sz w:val="18"/>
              </w:rPr>
              <w:t>Medium</w:t>
            </w:r>
          </w:p>
        </w:tc>
        <w:tc>
          <w:tcPr>
            <w:tcW w:type="dxa" w:w="2016"/>
            <w:shd w:val="clear" w:color="auto" w:fill="FFFFFF"/>
            <w:tcMar>
              <w:top w:w="80" w:type="dxa"/>
              <w:bottom w:w="80" w:type="dxa"/>
              <w:left w:w="80" w:type="dxa"/>
              <w:right w:w="80" w:type="dxa"/>
            </w:tcMar>
          </w:tcPr>
          <w:p>
            <w:pPr>
              <w:spacing w:line="276" w:lineRule="auto" w:after="40"/>
            </w:pPr>
            <w:r>
              <w:rPr>
                <w:sz w:val="18"/>
              </w:rPr>
              <w:t>Major Project / Secondary</w:t>
            </w:r>
          </w:p>
        </w:tc>
      </w:tr>
      <w:tr>
        <w:tc>
          <w:tcPr>
            <w:tcW w:type="dxa" w:w="1152"/>
            <w:shd w:val="clear" w:color="auto" w:fill="F4F6F9"/>
            <w:tcMar>
              <w:top w:w="80" w:type="dxa"/>
              <w:bottom w:w="80" w:type="dxa"/>
              <w:left w:w="80" w:type="dxa"/>
              <w:right w:w="80" w:type="dxa"/>
            </w:tcMar>
          </w:tcPr>
          <w:p>
            <w:pPr>
              <w:spacing w:line="276" w:lineRule="auto" w:after="40"/>
            </w:pPr>
            <w:r>
              <w:rPr>
                <w:b/>
                <w:color w:val="005A9E"/>
                <w:sz w:val="18"/>
              </w:rPr>
              <w:t>Idea 6</w:t>
            </w:r>
          </w:p>
        </w:tc>
        <w:tc>
          <w:tcPr>
            <w:tcW w:type="dxa" w:w="3168"/>
            <w:shd w:val="clear" w:color="auto" w:fill="F4F6F9"/>
            <w:tcMar>
              <w:top w:w="80" w:type="dxa"/>
              <w:bottom w:w="80" w:type="dxa"/>
              <w:left w:w="80" w:type="dxa"/>
              <w:right w:w="80" w:type="dxa"/>
            </w:tcMar>
          </w:tcPr>
          <w:p>
            <w:pPr>
              <w:spacing w:line="276" w:lineRule="auto" w:after="40"/>
            </w:pPr>
            <w:r>
              <w:rPr>
                <w:sz w:val="18"/>
              </w:rPr>
              <w:t>State Reversion Field Cleansing</w:t>
            </w:r>
          </w:p>
        </w:tc>
        <w:tc>
          <w:tcPr>
            <w:tcW w:type="dxa" w:w="1728"/>
            <w:shd w:val="clear" w:color="auto" w:fill="F4F6F9"/>
            <w:tcMar>
              <w:top w:w="80" w:type="dxa"/>
              <w:bottom w:w="80" w:type="dxa"/>
              <w:left w:w="80" w:type="dxa"/>
              <w:right w:w="80" w:type="dxa"/>
            </w:tcMar>
          </w:tcPr>
          <w:p>
            <w:pPr>
              <w:spacing w:line="276" w:lineRule="auto" w:after="40"/>
            </w:pPr>
            <w:r>
              <w:rPr>
                <w:sz w:val="18"/>
              </w:rPr>
              <w:t>Low</w:t>
            </w:r>
          </w:p>
        </w:tc>
        <w:tc>
          <w:tcPr>
            <w:tcW w:type="dxa" w:w="1728"/>
            <w:shd w:val="clear" w:color="auto" w:fill="F4F6F9"/>
            <w:tcMar>
              <w:top w:w="80" w:type="dxa"/>
              <w:bottom w:w="80" w:type="dxa"/>
              <w:left w:w="80" w:type="dxa"/>
              <w:right w:w="80" w:type="dxa"/>
            </w:tcMar>
          </w:tcPr>
          <w:p>
            <w:pPr>
              <w:spacing w:line="276" w:lineRule="auto" w:after="40"/>
            </w:pPr>
            <w:r>
              <w:rPr>
                <w:sz w:val="18"/>
              </w:rPr>
              <w:t>High</w:t>
            </w:r>
          </w:p>
        </w:tc>
        <w:tc>
          <w:tcPr>
            <w:tcW w:type="dxa" w:w="2016"/>
            <w:shd w:val="clear" w:color="auto" w:fill="F4F6F9"/>
            <w:tcMar>
              <w:top w:w="80" w:type="dxa"/>
              <w:bottom w:w="80" w:type="dxa"/>
              <w:left w:w="80" w:type="dxa"/>
              <w:right w:w="80" w:type="dxa"/>
            </w:tcMar>
          </w:tcPr>
          <w:p>
            <w:pPr>
              <w:spacing w:line="276" w:lineRule="auto" w:after="40"/>
            </w:pPr>
            <w:r>
              <w:rPr>
                <w:sz w:val="18"/>
              </w:rPr>
              <w:t>Fill-in Task / Optional</w:t>
            </w:r>
          </w:p>
        </w:tc>
      </w:tr>
    </w:tbl>
    <w:p>
      <w:pPr>
        <w:spacing w:after="240"/>
      </w:pPr>
    </w:p>
    <w:p>
      <w:r>
        <w:rPr>
          <w:b/>
          <w:color w:val="1B365D"/>
          <w:sz w:val="28"/>
        </w:rPr>
        <w:t>Summary of Final Selected Implementation Scope</w:t>
      </w:r>
    </w:p>
    <w:p>
      <w:pPr>
        <w:spacing w:after="120"/>
      </w:pPr>
      <w:r>
        <w:t>Based on the prioritization matrix, Ideas 1, 2, 3, and 4 fall into the 'High Importance &amp; High Feasibility' quadrant (Quick Wins). These form the core implementation scope for Milestone 1:</w:t>
        <w:br/>
        <w:t>1. UI Policy 1: Make Resolution Code and Resolution Notes visible and mandatory only when State = Resolved.</w:t>
        <w:br/>
        <w:t>2. UI Policy 2: Make Assignment Group and Work Notes mandatory when Priority = 1 - Critical or 2 - High.</w:t>
        <w:br/>
        <w:t>3. UI Policy 3: Make all core Incident fields Read-Only when State = Closed.</w:t>
        <w:br/>
        <w:t>4. Client Script 1: Implement onChange Client Scripts for real-time validation and dynamic field updates.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