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B365D"/>
          <w:sz w:val="28"/>
        </w:rPr>
        <w:t>Ideation Phase</w:t>
      </w:r>
    </w:p>
    <w:p>
      <w:pPr>
        <w:spacing w:after="240"/>
      </w:pPr>
      <w:r>
        <w:rPr>
          <w:b/>
          <w:color w:val="005A9E"/>
          <w:sz w:val="36"/>
        </w:rPr>
        <w:t>Define the Problem Statements</w:t>
      </w:r>
    </w:p>
    <w:tbl>
      <w:tblPr>
        <w:tblW w:type="auto" w:w="0"/>
        <w:jc w:val="center"/>
        <w:tblLook w:firstColumn="1" w:firstRow="1" w:lastColumn="0" w:lastRow="0" w:noHBand="0" w:noVBand="1" w:val="04A0"/>
      </w:tblPr>
      <w:tblGrid>
        <w:gridCol w:w="4968"/>
        <w:gridCol w:w="4968"/>
      </w:tblGrid>
      <w:tr>
        <w:tc>
          <w:tcPr>
            <w:tcW w:type="dxa" w:w="2880"/>
            <w:shd w:val="clear" w:color="auto" w:fill="F0F4F8"/>
            <w:tcMar>
              <w:top w:w="80" w:type="dxa"/>
              <w:bottom w:w="80" w:type="dxa"/>
              <w:left w:w="120" w:type="dxa"/>
              <w:right w:w="120" w:type="dxa"/>
            </w:tcMar>
          </w:tcPr>
          <w:p>
            <w:r>
              <w:rPr>
                <w:b/>
                <w:color w:val="1B365D"/>
              </w:rPr>
              <w:t>Date:</w:t>
            </w:r>
          </w:p>
        </w:tc>
        <w:tc>
          <w:tcPr>
            <w:tcW w:type="dxa" w:w="6912"/>
            <w:shd w:val="clear" w:color="auto" w:fill="FFFFFF"/>
            <w:tcMar>
              <w:top w:w="80" w:type="dxa"/>
              <w:bottom w:w="80" w:type="dxa"/>
              <w:left w:w="120" w:type="dxa"/>
              <w:right w:w="120" w:type="dxa"/>
            </w:tcMar>
          </w:tcPr>
          <w:p>
            <w:r>
              <w:t>03 October 2026</w:t>
            </w:r>
          </w:p>
        </w:tc>
      </w:tr>
      <w:tr>
        <w:tc>
          <w:tcPr>
            <w:tcW w:type="dxa" w:w="2880"/>
            <w:shd w:val="clear" w:color="auto" w:fill="F0F4F8"/>
            <w:tcMar>
              <w:top w:w="80" w:type="dxa"/>
              <w:bottom w:w="80" w:type="dxa"/>
              <w:left w:w="120" w:type="dxa"/>
              <w:right w:w="120" w:type="dxa"/>
            </w:tcMar>
          </w:tcPr>
          <w:p>
            <w:r>
              <w:rPr>
                <w:b/>
                <w:color w:val="1B365D"/>
              </w:rPr>
              <w:t>Team ID:</w:t>
            </w:r>
          </w:p>
        </w:tc>
        <w:tc>
          <w:tcPr>
            <w:tcW w:type="dxa" w:w="6912"/>
            <w:shd w:val="clear" w:color="auto" w:fill="FFFFFF"/>
            <w:tcMar>
              <w:top w:w="80" w:type="dxa"/>
              <w:bottom w:w="80" w:type="dxa"/>
              <w:left w:w="120" w:type="dxa"/>
              <w:right w:w="120" w:type="dxa"/>
            </w:tcMar>
          </w:tcPr>
          <w:p>
            <w:r>
              <w:t>SWTID-2026-3257</w:t>
            </w:r>
          </w:p>
        </w:tc>
      </w:tr>
      <w:tr>
        <w:tc>
          <w:tcPr>
            <w:tcW w:type="dxa" w:w="2880"/>
            <w:shd w:val="clear" w:color="auto" w:fill="F0F4F8"/>
            <w:tcMar>
              <w:top w:w="80" w:type="dxa"/>
              <w:bottom w:w="80" w:type="dxa"/>
              <w:left w:w="120" w:type="dxa"/>
              <w:right w:w="120" w:type="dxa"/>
            </w:tcMar>
          </w:tcPr>
          <w:p>
            <w:r>
              <w:rPr>
                <w:b/>
                <w:color w:val="1B365D"/>
              </w:rPr>
              <w:t>Project Name:</w:t>
            </w:r>
          </w:p>
        </w:tc>
        <w:tc>
          <w:tcPr>
            <w:tcW w:type="dxa" w:w="6912"/>
            <w:shd w:val="clear" w:color="auto" w:fill="FFFFFF"/>
            <w:tcMar>
              <w:top w:w="80" w:type="dxa"/>
              <w:bottom w:w="80" w:type="dxa"/>
              <w:left w:w="120" w:type="dxa"/>
              <w:right w:w="120" w:type="dxa"/>
            </w:tcMar>
          </w:tcPr>
          <w:p>
            <w:r>
              <w:t>Implement Client Script &amp; UI Policy (Incident Table)</w:t>
            </w:r>
          </w:p>
        </w:tc>
      </w:tr>
      <w:tr>
        <w:tc>
          <w:tcPr>
            <w:tcW w:type="dxa" w:w="2880"/>
            <w:shd w:val="clear" w:color="auto" w:fill="F0F4F8"/>
            <w:tcMar>
              <w:top w:w="80" w:type="dxa"/>
              <w:bottom w:w="80" w:type="dxa"/>
              <w:left w:w="120" w:type="dxa"/>
              <w:right w:w="120" w:type="dxa"/>
            </w:tcMar>
          </w:tcPr>
          <w:p>
            <w:r>
              <w:rPr>
                <w:b/>
                <w:color w:val="1B365D"/>
              </w:rPr>
              <w:t>Maximum Marks:</w:t>
            </w:r>
          </w:p>
        </w:tc>
        <w:tc>
          <w:tcPr>
            <w:tcW w:type="dxa" w:w="6912"/>
            <w:shd w:val="clear" w:color="auto" w:fill="FFFFFF"/>
            <w:tcMar>
              <w:top w:w="80" w:type="dxa"/>
              <w:bottom w:w="80" w:type="dxa"/>
              <w:left w:w="120" w:type="dxa"/>
              <w:right w:w="120" w:type="dxa"/>
            </w:tcMar>
          </w:tcPr>
          <w:p>
            <w:r>
              <w:t>2 Marks</w:t>
            </w:r>
          </w:p>
        </w:tc>
      </w:tr>
    </w:tbl>
    <w:p>
      <w:pPr>
        <w:spacing w:after="240"/>
      </w:pPr>
    </w:p>
    <w:p>
      <w:r>
        <w:rPr>
          <w:b/>
          <w:color w:val="1B365D"/>
          <w:sz w:val="28"/>
        </w:rPr>
        <w:t>1. Customer Problem Statement Framework</w:t>
      </w:r>
    </w:p>
    <w:p>
      <w:pPr>
        <w:spacing w:after="160"/>
      </w:pPr>
      <w:r>
        <w:t>A well-articulated customer problem statement allows the team to find the ideal solution for the challenges users face in managing Incident records. Throughout this process, we empathize with IT Service Desk Technicians and Incident Managers to understand how they interact with the Incident form and how Client Scripts and UI Policies directly address their pain points.</w:t>
      </w:r>
    </w:p>
    <w:p>
      <w:pPr>
        <w:spacing w:after="240"/>
      </w:pPr>
      <w:r>
        <w:rPr>
          <w:b/>
        </w:rPr>
        <w:t xml:space="preserve">Reference Template Structure: </w:t>
      </w:r>
      <w:r>
        <w:t>I am [Customer] -&gt; I'm trying to [Goal/Job] -&gt; But [Problem/Barrier] -&gt; Because [Root Cause] -&gt; Which makes me feel [Emotion].</w:t>
      </w:r>
    </w:p>
    <w:p>
      <w:r>
        <w:rPr>
          <w:b/>
          <w:color w:val="1B365D"/>
          <w:sz w:val="28"/>
        </w:rPr>
        <w:t>2. Defined Problem Statements (PS Table)</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val="clear" w:color="auto" w:fill="1B365D"/>
            <w:tcMar>
              <w:top w:w="100" w:type="dxa"/>
              <w:bottom w:w="100" w:type="dxa"/>
              <w:left w:w="100" w:type="dxa"/>
              <w:right w:w="100" w:type="dxa"/>
            </w:tcMar>
          </w:tcPr>
          <w:p>
            <w:pPr>
              <w:jc w:val="center"/>
            </w:pPr>
            <w:r>
              <w:rPr>
                <w:b/>
                <w:color w:val="FFFFFF"/>
                <w:sz w:val="19"/>
              </w:rPr>
              <w:t>Problem Statement (PS)</w:t>
            </w:r>
          </w:p>
        </w:tc>
        <w:tc>
          <w:tcPr>
            <w:tcW w:type="dxa" w:w="1584"/>
            <w:shd w:val="clear" w:color="auto" w:fill="1B365D"/>
            <w:tcMar>
              <w:top w:w="100" w:type="dxa"/>
              <w:bottom w:w="100" w:type="dxa"/>
              <w:left w:w="100" w:type="dxa"/>
              <w:right w:w="100" w:type="dxa"/>
            </w:tcMar>
          </w:tcPr>
          <w:p>
            <w:pPr>
              <w:jc w:val="center"/>
            </w:pPr>
            <w:r>
              <w:rPr>
                <w:b/>
                <w:color w:val="FFFFFF"/>
                <w:sz w:val="19"/>
              </w:rPr>
              <w:t>I am (Customer)</w:t>
            </w:r>
          </w:p>
        </w:tc>
        <w:tc>
          <w:tcPr>
            <w:tcW w:type="dxa" w:w="1728"/>
            <w:shd w:val="clear" w:color="auto" w:fill="1B365D"/>
            <w:tcMar>
              <w:top w:w="100" w:type="dxa"/>
              <w:bottom w:w="100" w:type="dxa"/>
              <w:left w:w="100" w:type="dxa"/>
              <w:right w:w="100" w:type="dxa"/>
            </w:tcMar>
          </w:tcPr>
          <w:p>
            <w:pPr>
              <w:jc w:val="center"/>
            </w:pPr>
            <w:r>
              <w:rPr>
                <w:b/>
                <w:color w:val="FFFFFF"/>
                <w:sz w:val="19"/>
              </w:rPr>
              <w:t>I’m trying to</w:t>
            </w:r>
          </w:p>
        </w:tc>
        <w:tc>
          <w:tcPr>
            <w:tcW w:type="dxa" w:w="1728"/>
            <w:shd w:val="clear" w:color="auto" w:fill="1B365D"/>
            <w:tcMar>
              <w:top w:w="100" w:type="dxa"/>
              <w:bottom w:w="100" w:type="dxa"/>
              <w:left w:w="100" w:type="dxa"/>
              <w:right w:w="100" w:type="dxa"/>
            </w:tcMar>
          </w:tcPr>
          <w:p>
            <w:pPr>
              <w:jc w:val="center"/>
            </w:pPr>
            <w:r>
              <w:rPr>
                <w:b/>
                <w:color w:val="FFFFFF"/>
                <w:sz w:val="19"/>
              </w:rPr>
              <w:t>But</w:t>
            </w:r>
          </w:p>
        </w:tc>
        <w:tc>
          <w:tcPr>
            <w:tcW w:type="dxa" w:w="1728"/>
            <w:shd w:val="clear" w:color="auto" w:fill="1B365D"/>
            <w:tcMar>
              <w:top w:w="100" w:type="dxa"/>
              <w:bottom w:w="100" w:type="dxa"/>
              <w:left w:w="100" w:type="dxa"/>
              <w:right w:w="100" w:type="dxa"/>
            </w:tcMar>
          </w:tcPr>
          <w:p>
            <w:pPr>
              <w:jc w:val="center"/>
            </w:pPr>
            <w:r>
              <w:rPr>
                <w:b/>
                <w:color w:val="FFFFFF"/>
                <w:sz w:val="19"/>
              </w:rPr>
              <w:t>Because</w:t>
            </w:r>
          </w:p>
        </w:tc>
        <w:tc>
          <w:tcPr>
            <w:tcW w:type="dxa" w:w="1584"/>
            <w:shd w:val="clear" w:color="auto" w:fill="1B365D"/>
            <w:tcMar>
              <w:top w:w="100" w:type="dxa"/>
              <w:bottom w:w="100" w:type="dxa"/>
              <w:left w:w="100" w:type="dxa"/>
              <w:right w:w="100" w:type="dxa"/>
            </w:tcMar>
          </w:tcPr>
          <w:p>
            <w:pPr>
              <w:jc w:val="center"/>
            </w:pPr>
            <w:r>
              <w:rPr>
                <w:b/>
                <w:color w:val="FFFFFF"/>
                <w:sz w:val="19"/>
              </w:rPr>
              <w:t>Which makes me feel</w:t>
            </w:r>
          </w:p>
        </w:tc>
      </w:tr>
      <w:tr>
        <w:tc>
          <w:tcPr>
            <w:tcW w:type="dxa" w:w="1440"/>
            <w:shd w:val="clear" w:color="auto" w:fill="F4F6F9"/>
            <w:tcMar>
              <w:top w:w="100" w:type="dxa"/>
              <w:bottom w:w="100" w:type="dxa"/>
              <w:left w:w="100" w:type="dxa"/>
              <w:right w:w="100" w:type="dxa"/>
            </w:tcMar>
          </w:tcPr>
          <w:p>
            <w:pPr>
              <w:jc w:val="center"/>
            </w:pPr>
            <w:r>
              <w:rPr>
                <w:b/>
                <w:color w:val="005A9E"/>
              </w:rPr>
              <w:t>PS-1</w:t>
            </w:r>
          </w:p>
        </w:tc>
        <w:tc>
          <w:tcPr>
            <w:tcW w:type="dxa" w:w="1584"/>
            <w:shd w:val="clear" w:color="auto" w:fill="F4F6F9"/>
            <w:tcMar>
              <w:top w:w="100" w:type="dxa"/>
              <w:bottom w:w="100" w:type="dxa"/>
              <w:left w:w="100" w:type="dxa"/>
              <w:right w:w="100" w:type="dxa"/>
            </w:tcMar>
          </w:tcPr>
          <w:p>
            <w:pPr>
              <w:jc w:val="left"/>
            </w:pPr>
            <w:r>
              <w:rPr>
                <w:sz w:val="18"/>
              </w:rPr>
              <w:t>An IT Service Desk Analyst handling high-volume incident tickets during live support calls</w:t>
            </w:r>
          </w:p>
        </w:tc>
        <w:tc>
          <w:tcPr>
            <w:tcW w:type="dxa" w:w="1728"/>
            <w:shd w:val="clear" w:color="auto" w:fill="F4F6F9"/>
            <w:tcMar>
              <w:top w:w="100" w:type="dxa"/>
              <w:bottom w:w="100" w:type="dxa"/>
              <w:left w:w="100" w:type="dxa"/>
              <w:right w:w="100" w:type="dxa"/>
            </w:tcMar>
          </w:tcPr>
          <w:p>
            <w:pPr>
              <w:jc w:val="left"/>
            </w:pPr>
            <w:r>
              <w:rPr>
                <w:sz w:val="18"/>
              </w:rPr>
              <w:t>quickly log, triage, and update incident records accurately without missing required details</w:t>
            </w:r>
          </w:p>
        </w:tc>
        <w:tc>
          <w:tcPr>
            <w:tcW w:type="dxa" w:w="1728"/>
            <w:shd w:val="clear" w:color="auto" w:fill="F4F6F9"/>
            <w:tcMar>
              <w:top w:w="100" w:type="dxa"/>
              <w:bottom w:w="100" w:type="dxa"/>
              <w:left w:w="100" w:type="dxa"/>
              <w:right w:w="100" w:type="dxa"/>
            </w:tcMar>
          </w:tcPr>
          <w:p>
            <w:pPr>
              <w:jc w:val="left"/>
            </w:pPr>
            <w:r>
              <w:rPr>
                <w:sz w:val="18"/>
              </w:rPr>
              <w:t>the static form presents 30+ fields all at once and allows submission without enforcing key resolution details</w:t>
            </w:r>
          </w:p>
        </w:tc>
        <w:tc>
          <w:tcPr>
            <w:tcW w:type="dxa" w:w="1728"/>
            <w:shd w:val="clear" w:color="auto" w:fill="F4F6F9"/>
            <w:tcMar>
              <w:top w:w="100" w:type="dxa"/>
              <w:bottom w:w="100" w:type="dxa"/>
              <w:left w:w="100" w:type="dxa"/>
              <w:right w:w="100" w:type="dxa"/>
            </w:tcMar>
          </w:tcPr>
          <w:p>
            <w:pPr>
              <w:jc w:val="left"/>
            </w:pPr>
            <w:r>
              <w:rPr>
                <w:sz w:val="18"/>
              </w:rPr>
              <w:t>there are no dynamic UI Policies or Client Scripts configured on the Incident form to adapt fields based on state or priority</w:t>
            </w:r>
          </w:p>
        </w:tc>
        <w:tc>
          <w:tcPr>
            <w:tcW w:type="dxa" w:w="1584"/>
            <w:shd w:val="clear" w:color="auto" w:fill="F4F6F9"/>
            <w:tcMar>
              <w:top w:w="100" w:type="dxa"/>
              <w:bottom w:w="100" w:type="dxa"/>
              <w:left w:w="100" w:type="dxa"/>
              <w:right w:w="100" w:type="dxa"/>
            </w:tcMar>
          </w:tcPr>
          <w:p>
            <w:pPr>
              <w:jc w:val="left"/>
            </w:pPr>
            <w:r>
              <w:rPr>
                <w:sz w:val="18"/>
              </w:rPr>
              <w:t>Frustrated and overwhelmed by cognitive fatigue and mandatory ticket rework</w:t>
            </w:r>
          </w:p>
        </w:tc>
      </w:tr>
      <w:tr>
        <w:tc>
          <w:tcPr>
            <w:tcW w:type="dxa" w:w="1440"/>
            <w:shd w:val="clear" w:color="auto" w:fill="FFFFFF"/>
            <w:tcMar>
              <w:top w:w="100" w:type="dxa"/>
              <w:bottom w:w="100" w:type="dxa"/>
              <w:left w:w="100" w:type="dxa"/>
              <w:right w:w="100" w:type="dxa"/>
            </w:tcMar>
          </w:tcPr>
          <w:p>
            <w:pPr>
              <w:jc w:val="center"/>
            </w:pPr>
            <w:r>
              <w:rPr>
                <w:b/>
                <w:color w:val="005A9E"/>
              </w:rPr>
              <w:t>PS-2</w:t>
            </w:r>
          </w:p>
        </w:tc>
        <w:tc>
          <w:tcPr>
            <w:tcW w:type="dxa" w:w="1584"/>
            <w:shd w:val="clear" w:color="auto" w:fill="FFFFFF"/>
            <w:tcMar>
              <w:top w:w="100" w:type="dxa"/>
              <w:bottom w:w="100" w:type="dxa"/>
              <w:left w:w="100" w:type="dxa"/>
              <w:right w:w="100" w:type="dxa"/>
            </w:tcMar>
          </w:tcPr>
          <w:p>
            <w:pPr>
              <w:jc w:val="left"/>
            </w:pPr>
            <w:r>
              <w:rPr>
                <w:sz w:val="18"/>
              </w:rPr>
              <w:t>An Incident Manager overseeing ITSM process compliance and SLA quality reporting</w:t>
            </w:r>
          </w:p>
        </w:tc>
        <w:tc>
          <w:tcPr>
            <w:tcW w:type="dxa" w:w="1728"/>
            <w:shd w:val="clear" w:color="auto" w:fill="FFFFFF"/>
            <w:tcMar>
              <w:top w:w="100" w:type="dxa"/>
              <w:bottom w:w="100" w:type="dxa"/>
              <w:left w:w="100" w:type="dxa"/>
              <w:right w:w="100" w:type="dxa"/>
            </w:tcMar>
          </w:tcPr>
          <w:p>
            <w:pPr>
              <w:jc w:val="left"/>
            </w:pPr>
            <w:r>
              <w:rPr>
                <w:sz w:val="18"/>
              </w:rPr>
              <w:t>maintain clean, complete, and reliable incident record data for accurate reporting and post-incident reviews</w:t>
            </w:r>
          </w:p>
        </w:tc>
        <w:tc>
          <w:tcPr>
            <w:tcW w:type="dxa" w:w="1728"/>
            <w:shd w:val="clear" w:color="auto" w:fill="FFFFFF"/>
            <w:tcMar>
              <w:top w:w="100" w:type="dxa"/>
              <w:bottom w:w="100" w:type="dxa"/>
              <w:left w:w="100" w:type="dxa"/>
              <w:right w:w="100" w:type="dxa"/>
            </w:tcMar>
          </w:tcPr>
          <w:p>
            <w:pPr>
              <w:jc w:val="left"/>
            </w:pPr>
            <w:r>
              <w:rPr>
                <w:sz w:val="18"/>
              </w:rPr>
              <w:t>submitted incident tickets contain missing resolution notes, incorrect priorities, or modified closed records</w:t>
            </w:r>
          </w:p>
        </w:tc>
        <w:tc>
          <w:tcPr>
            <w:tcW w:type="dxa" w:w="1728"/>
            <w:shd w:val="clear" w:color="auto" w:fill="FFFFFF"/>
            <w:tcMar>
              <w:top w:w="100" w:type="dxa"/>
              <w:bottom w:w="100" w:type="dxa"/>
              <w:left w:w="100" w:type="dxa"/>
              <w:right w:w="100" w:type="dxa"/>
            </w:tcMar>
          </w:tcPr>
          <w:p>
            <w:pPr>
              <w:jc w:val="left"/>
            </w:pPr>
            <w:r>
              <w:rPr>
                <w:sz w:val="18"/>
              </w:rPr>
              <w:t>form field rules (mandatory, read-only, and dynamic visibility) are not dynamically enforced at the client level before saving</w:t>
            </w:r>
          </w:p>
        </w:tc>
        <w:tc>
          <w:tcPr>
            <w:tcW w:type="dxa" w:w="1584"/>
            <w:shd w:val="clear" w:color="auto" w:fill="FFFFFF"/>
            <w:tcMar>
              <w:top w:w="100" w:type="dxa"/>
              <w:bottom w:w="100" w:type="dxa"/>
              <w:left w:w="100" w:type="dxa"/>
              <w:right w:w="100" w:type="dxa"/>
            </w:tcMar>
          </w:tcPr>
          <w:p>
            <w:pPr>
              <w:jc w:val="left"/>
            </w:pPr>
            <w:r>
              <w:rPr>
                <w:sz w:val="18"/>
              </w:rPr>
              <w:t>Anxious and hindered by inconsistent reporting metrics and unreliable audit history</w:t>
            </w:r>
          </w:p>
        </w:tc>
      </w:tr>
    </w:tbl>
    <w:p>
      <w:pPr>
        <w:spacing w:after="240"/>
      </w:pPr>
    </w:p>
    <w:p>
      <w:r>
        <w:rPr>
          <w:b/>
          <w:color w:val="1B365D"/>
          <w:sz w:val="28"/>
        </w:rPr>
        <w:t>3. Solution Mapping to Implementation Scope</w:t>
      </w:r>
    </w:p>
    <w:p>
      <w:pPr>
        <w:spacing w:after="40"/>
      </w:pPr>
      <w:r>
        <w:rPr>
          <w:b/>
          <w:color w:val="005A9E"/>
          <w:sz w:val="22"/>
        </w:rPr>
        <w:t>Addressing PS-1 (Service Desk Analyst Experience):</w:t>
      </w:r>
    </w:p>
    <w:p>
      <w:pPr>
        <w:spacing w:after="160"/>
        <w:ind w:left="288"/>
      </w:pPr>
      <w:r>
        <w:rPr>
          <w:sz w:val="20"/>
        </w:rPr>
        <w:t>• Implement dynamic UI Policies to hide non-essential fields during initial ticket creation, reducing visual clutter.</w:t>
        <w:br/>
        <w:t>• Implement Client Scripts (onChange) to automatically calculate priority or set field values dynamically as the technician types.</w:t>
        <w:br/>
        <w:t>• Set up dynamic mandatory conditions for 'Resolution Code' and 'Resolution Notes' when state moves to 'Resolved'.</w:t>
      </w:r>
    </w:p>
    <w:p>
      <w:pPr>
        <w:spacing w:after="40"/>
      </w:pPr>
      <w:r>
        <w:rPr>
          <w:b/>
          <w:color w:val="005A9E"/>
          <w:sz w:val="22"/>
        </w:rPr>
        <w:t>Addressing PS-2 (Incident Manager Compliance &amp; Governance):</w:t>
      </w:r>
    </w:p>
    <w:p>
      <w:pPr>
        <w:spacing w:after="160"/>
        <w:ind w:left="288"/>
      </w:pPr>
      <w:r>
        <w:rPr>
          <w:sz w:val="20"/>
        </w:rPr>
        <w:t>• Configure UI Policy Actions to strictly enforce field mandatory status prior to record saving.</w:t>
        <w:br/>
        <w:t>• Implement Read-Only UI Policies once the incident state reaches 'Closed' to lock records and ensure data integrity.</w:t>
        <w:br/>
        <w:t>• Validate client-side inputs in real time to ensure zero incomplete or invalid incident entries enter the database.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