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28"/>
        </w:rPr>
        <w:t>Project Design Phase-II</w:t>
      </w:r>
    </w:p>
    <w:p>
      <w:pPr>
        <w:spacing w:after="240"/>
      </w:pPr>
      <w:r>
        <w:rPr>
          <w:b/>
          <w:color w:val="005A9E"/>
          <w:sz w:val="36"/>
        </w:rPr>
        <w:t>Solution Requirements (Functional &amp; Non-functional)</w:t>
      </w:r>
    </w:p>
    <w:tbl>
      <w:tblPr>
        <w:tblW w:type="auto" w:w="0"/>
        <w:jc w:val="center"/>
        <w:tblLook w:firstColumn="1" w:firstRow="1" w:lastColumn="0" w:lastRow="0" w:noHBand="0" w:noVBand="1" w:val="04A0"/>
      </w:tblPr>
      <w:tblGrid>
        <w:gridCol w:w="4968"/>
        <w:gridCol w:w="4968"/>
      </w:tblGrid>
      <w:tr>
        <w:tc>
          <w:tcPr>
            <w:tcW w:type="dxa" w:w="2880"/>
            <w:shd w:val="clear" w:color="auto" w:fill="F0F4F8"/>
            <w:tcMar>
              <w:top w:w="80" w:type="dxa"/>
              <w:bottom w:w="80" w:type="dxa"/>
              <w:left w:w="120" w:type="dxa"/>
              <w:right w:w="120" w:type="dxa"/>
            </w:tcMar>
          </w:tcPr>
          <w:p>
            <w:r>
              <w:rPr>
                <w:b/>
                <w:color w:val="1B365D"/>
              </w:rPr>
              <w:t>Date:</w:t>
            </w:r>
          </w:p>
        </w:tc>
        <w:tc>
          <w:tcPr>
            <w:tcW w:type="dxa" w:w="6912"/>
            <w:shd w:val="clear" w:color="auto" w:fill="FFFFFF"/>
            <w:tcMar>
              <w:top w:w="80" w:type="dxa"/>
              <w:bottom w:w="80" w:type="dxa"/>
              <w:left w:w="120" w:type="dxa"/>
              <w:right w:w="120" w:type="dxa"/>
            </w:tcMar>
          </w:tcPr>
          <w:p>
            <w:r>
              <w:t>03 October 2026</w:t>
            </w:r>
          </w:p>
        </w:tc>
      </w:tr>
      <w:tr>
        <w:tc>
          <w:tcPr>
            <w:tcW w:type="dxa" w:w="2880"/>
            <w:shd w:val="clear" w:color="auto" w:fill="F0F4F8"/>
            <w:tcMar>
              <w:top w:w="80" w:type="dxa"/>
              <w:bottom w:w="80" w:type="dxa"/>
              <w:left w:w="120" w:type="dxa"/>
              <w:right w:w="120" w:type="dxa"/>
            </w:tcMar>
          </w:tcPr>
          <w:p>
            <w:r>
              <w:rPr>
                <w:b/>
                <w:color w:val="1B365D"/>
              </w:rPr>
              <w:t>Team ID:</w:t>
            </w:r>
          </w:p>
        </w:tc>
        <w:tc>
          <w:tcPr>
            <w:tcW w:type="dxa" w:w="6912"/>
            <w:shd w:val="clear" w:color="auto" w:fill="FFFFFF"/>
            <w:tcMar>
              <w:top w:w="80" w:type="dxa"/>
              <w:bottom w:w="80" w:type="dxa"/>
              <w:left w:w="120" w:type="dxa"/>
              <w:right w:w="120" w:type="dxa"/>
            </w:tcMar>
          </w:tcPr>
          <w:p>
            <w:r>
              <w:t>SWTID-2026-3257</w:t>
            </w:r>
          </w:p>
        </w:tc>
      </w:tr>
      <w:tr>
        <w:tc>
          <w:tcPr>
            <w:tcW w:type="dxa" w:w="2880"/>
            <w:shd w:val="clear" w:color="auto" w:fill="F0F4F8"/>
            <w:tcMar>
              <w:top w:w="80" w:type="dxa"/>
              <w:bottom w:w="80" w:type="dxa"/>
              <w:left w:w="120" w:type="dxa"/>
              <w:right w:w="120" w:type="dxa"/>
            </w:tcMar>
          </w:tcPr>
          <w:p>
            <w:r>
              <w:rPr>
                <w:b/>
                <w:color w:val="1B365D"/>
              </w:rPr>
              <w:t>Project Name:</w:t>
            </w:r>
          </w:p>
        </w:tc>
        <w:tc>
          <w:tcPr>
            <w:tcW w:type="dxa" w:w="6912"/>
            <w:shd w:val="clear" w:color="auto" w:fill="FFFFFF"/>
            <w:tcMar>
              <w:top w:w="80" w:type="dxa"/>
              <w:bottom w:w="80" w:type="dxa"/>
              <w:left w:w="120" w:type="dxa"/>
              <w:right w:w="120" w:type="dxa"/>
            </w:tcMar>
          </w:tcPr>
          <w:p>
            <w:r>
              <w:t>Implement Client Script &amp; UI Policy (Incident Table)</w:t>
            </w:r>
          </w:p>
        </w:tc>
      </w:tr>
      <w:tr>
        <w:tc>
          <w:tcPr>
            <w:tcW w:type="dxa" w:w="2880"/>
            <w:shd w:val="clear" w:color="auto" w:fill="F0F4F8"/>
            <w:tcMar>
              <w:top w:w="80" w:type="dxa"/>
              <w:bottom w:w="80" w:type="dxa"/>
              <w:left w:w="120" w:type="dxa"/>
              <w:right w:w="120" w:type="dxa"/>
            </w:tcMar>
          </w:tcPr>
          <w:p>
            <w:r>
              <w:rPr>
                <w:b/>
                <w:color w:val="1B365D"/>
              </w:rPr>
              <w:t>Maximum Marks:</w:t>
            </w:r>
          </w:p>
        </w:tc>
        <w:tc>
          <w:tcPr>
            <w:tcW w:type="dxa" w:w="6912"/>
            <w:shd w:val="clear" w:color="auto" w:fill="FFFFFF"/>
            <w:tcMar>
              <w:top w:w="80" w:type="dxa"/>
              <w:bottom w:w="80" w:type="dxa"/>
              <w:left w:w="120" w:type="dxa"/>
              <w:right w:w="120" w:type="dxa"/>
            </w:tcMar>
          </w:tcPr>
          <w:p>
            <w:r>
              <w:t>4 Marks</w:t>
            </w:r>
          </w:p>
        </w:tc>
      </w:tr>
    </w:tbl>
    <w:p>
      <w:pPr>
        <w:spacing w:after="240"/>
      </w:pPr>
    </w:p>
    <w:p>
      <w:r>
        <w:rPr>
          <w:b/>
          <w:color w:val="1B365D"/>
          <w:sz w:val="28"/>
        </w:rPr>
        <w:t>Functional Requirements</w:t>
      </w:r>
    </w:p>
    <w:p>
      <w:pPr>
        <w:spacing w:after="160"/>
      </w:pPr>
      <w:r>
        <w:t>Following are the functional requirements of the proposed solution for the Incident Table UI Policy &amp; Client Script implementation:</w:t>
      </w:r>
    </w:p>
    <w:tbl>
      <w:tblPr>
        <w:tblW w:type="auto" w:w="0"/>
        <w:jc w:val="center"/>
        <w:tblLook w:firstColumn="1" w:firstRow="1" w:lastColumn="0" w:lastRow="0" w:noHBand="0" w:noVBand="1" w:val="04A0"/>
      </w:tblPr>
      <w:tblGrid>
        <w:gridCol w:w="3312"/>
        <w:gridCol w:w="3312"/>
        <w:gridCol w:w="3312"/>
      </w:tblGrid>
      <w:tr>
        <w:tc>
          <w:tcPr>
            <w:tcW w:type="dxa" w:w="1440"/>
            <w:shd w:val="clear" w:color="auto" w:fill="1B365D"/>
            <w:tcMar>
              <w:top w:w="100" w:type="dxa"/>
              <w:bottom w:w="100" w:type="dxa"/>
              <w:left w:w="80" w:type="dxa"/>
              <w:right w:w="80" w:type="dxa"/>
            </w:tcMar>
          </w:tcPr>
          <w:p>
            <w:r>
              <w:rPr>
                <w:b/>
                <w:color w:val="FFFFFF"/>
                <w:sz w:val="19"/>
              </w:rPr>
              <w:t>FR No.</w:t>
            </w:r>
          </w:p>
        </w:tc>
        <w:tc>
          <w:tcPr>
            <w:tcW w:type="dxa" w:w="3600"/>
            <w:shd w:val="clear" w:color="auto" w:fill="1B365D"/>
            <w:tcMar>
              <w:top w:w="100" w:type="dxa"/>
              <w:bottom w:w="100" w:type="dxa"/>
              <w:left w:w="80" w:type="dxa"/>
              <w:right w:w="80" w:type="dxa"/>
            </w:tcMar>
          </w:tcPr>
          <w:p>
            <w:r>
              <w:rPr>
                <w:b/>
                <w:color w:val="FFFFFF"/>
                <w:sz w:val="19"/>
              </w:rPr>
              <w:t>Functional Requirement (Epic)</w:t>
            </w:r>
          </w:p>
        </w:tc>
        <w:tc>
          <w:tcPr>
            <w:tcW w:type="dxa" w:w="4752"/>
            <w:shd w:val="clear" w:color="auto" w:fill="1B365D"/>
            <w:tcMar>
              <w:top w:w="100" w:type="dxa"/>
              <w:bottom w:w="100" w:type="dxa"/>
              <w:left w:w="80" w:type="dxa"/>
              <w:right w:w="80" w:type="dxa"/>
            </w:tcMar>
          </w:tcPr>
          <w:p>
            <w:r>
              <w:rPr>
                <w:b/>
                <w:color w:val="FFFFFF"/>
                <w:sz w:val="19"/>
              </w:rPr>
              <w:t>Sub Requirement (Story / Sub-Task)</w:t>
            </w:r>
          </w:p>
        </w:tc>
      </w:tr>
      <w:tr>
        <w:tc>
          <w:tcPr>
            <w:tcW w:type="dxa" w:w="1440"/>
            <w:shd w:val="clear" w:color="auto" w:fill="FFFFFF"/>
            <w:tcMar>
              <w:top w:w="80" w:type="dxa"/>
              <w:bottom w:w="80" w:type="dxa"/>
              <w:left w:w="80" w:type="dxa"/>
              <w:right w:w="80" w:type="dxa"/>
            </w:tcMar>
          </w:tcPr>
          <w:p>
            <w:pPr>
              <w:spacing w:line="276" w:lineRule="auto" w:after="40"/>
            </w:pPr>
            <w:r>
              <w:rPr>
                <w:b/>
                <w:color w:val="005A9E"/>
                <w:sz w:val="18"/>
              </w:rPr>
              <w:t>FR-1</w:t>
            </w:r>
          </w:p>
        </w:tc>
        <w:tc>
          <w:tcPr>
            <w:tcW w:type="dxa" w:w="3600"/>
            <w:shd w:val="clear" w:color="auto" w:fill="FFFFFF"/>
            <w:tcMar>
              <w:top w:w="80" w:type="dxa"/>
              <w:bottom w:w="80" w:type="dxa"/>
              <w:left w:w="80" w:type="dxa"/>
              <w:right w:w="80" w:type="dxa"/>
            </w:tcMar>
          </w:tcPr>
          <w:p>
            <w:pPr>
              <w:spacing w:line="276" w:lineRule="auto" w:after="40"/>
            </w:pPr>
            <w:r>
              <w:rPr>
                <w:sz w:val="18"/>
              </w:rPr>
              <w:t>Dynamic UI Field Visibility Policy</w:t>
            </w:r>
          </w:p>
        </w:tc>
        <w:tc>
          <w:tcPr>
            <w:tcW w:type="dxa" w:w="4752"/>
            <w:shd w:val="clear" w:color="auto" w:fill="FFFFFF"/>
            <w:tcMar>
              <w:top w:w="80" w:type="dxa"/>
              <w:bottom w:w="80" w:type="dxa"/>
              <w:left w:w="80" w:type="dxa"/>
              <w:right w:w="80" w:type="dxa"/>
            </w:tcMar>
          </w:tcPr>
          <w:p>
            <w:pPr>
              <w:spacing w:line="276" w:lineRule="auto" w:after="40"/>
            </w:pPr>
            <w:r>
              <w:rPr>
                <w:sz w:val="18"/>
              </w:rPr>
              <w:t>• Trigger UI Policy when Incident State changes to 'Resolved'.</w:t>
              <w:br/>
              <w:t>• Automatically reveal 'Resolution Code' and 'Resolution Notes' fields.</w:t>
              <w:br/>
              <w:t>• Hide resolution fields when Incident State is 'New' or 'In Progress' to reduce clutter.</w:t>
            </w:r>
          </w:p>
        </w:tc>
      </w:tr>
      <w:tr>
        <w:tc>
          <w:tcPr>
            <w:tcW w:type="dxa" w:w="1440"/>
            <w:shd w:val="clear" w:color="auto" w:fill="F4F6F9"/>
            <w:tcMar>
              <w:top w:w="80" w:type="dxa"/>
              <w:bottom w:w="80" w:type="dxa"/>
              <w:left w:w="80" w:type="dxa"/>
              <w:right w:w="80" w:type="dxa"/>
            </w:tcMar>
          </w:tcPr>
          <w:p>
            <w:pPr>
              <w:spacing w:line="276" w:lineRule="auto" w:after="40"/>
            </w:pPr>
            <w:r>
              <w:rPr>
                <w:b/>
                <w:color w:val="005A9E"/>
                <w:sz w:val="18"/>
              </w:rPr>
              <w:t>FR-2</w:t>
            </w:r>
          </w:p>
        </w:tc>
        <w:tc>
          <w:tcPr>
            <w:tcW w:type="dxa" w:w="3600"/>
            <w:shd w:val="clear" w:color="auto" w:fill="F4F6F9"/>
            <w:tcMar>
              <w:top w:w="80" w:type="dxa"/>
              <w:bottom w:w="80" w:type="dxa"/>
              <w:left w:w="80" w:type="dxa"/>
              <w:right w:w="80" w:type="dxa"/>
            </w:tcMar>
          </w:tcPr>
          <w:p>
            <w:pPr>
              <w:spacing w:line="276" w:lineRule="auto" w:after="40"/>
            </w:pPr>
            <w:r>
              <w:rPr>
                <w:sz w:val="18"/>
              </w:rPr>
              <w:t>Dynamic Mandatory Field Enforcement</w:t>
            </w:r>
          </w:p>
        </w:tc>
        <w:tc>
          <w:tcPr>
            <w:tcW w:type="dxa" w:w="4752"/>
            <w:shd w:val="clear" w:color="auto" w:fill="F4F6F9"/>
            <w:tcMar>
              <w:top w:w="80" w:type="dxa"/>
              <w:bottom w:w="80" w:type="dxa"/>
              <w:left w:w="80" w:type="dxa"/>
              <w:right w:w="80" w:type="dxa"/>
            </w:tcMar>
          </w:tcPr>
          <w:p>
            <w:pPr>
              <w:spacing w:line="276" w:lineRule="auto" w:after="40"/>
            </w:pPr>
            <w:r>
              <w:rPr>
                <w:sz w:val="18"/>
              </w:rPr>
              <w:t>• Require 'Resolution Code' and 'Resolution Notes' dynamically when State = Resolved.</w:t>
              <w:br/>
              <w:t>• Require 'Work Notes' and 'Assignment Group' dynamically when Incident Priority is '1 - Critical' or '2 - High'.</w:t>
              <w:br/>
              <w:t>• Block form submission if mandatory conditions are not met.</w:t>
            </w:r>
          </w:p>
        </w:tc>
      </w:tr>
      <w:tr>
        <w:tc>
          <w:tcPr>
            <w:tcW w:type="dxa" w:w="1440"/>
            <w:shd w:val="clear" w:color="auto" w:fill="FFFFFF"/>
            <w:tcMar>
              <w:top w:w="80" w:type="dxa"/>
              <w:bottom w:w="80" w:type="dxa"/>
              <w:left w:w="80" w:type="dxa"/>
              <w:right w:w="80" w:type="dxa"/>
            </w:tcMar>
          </w:tcPr>
          <w:p>
            <w:pPr>
              <w:spacing w:line="276" w:lineRule="auto" w:after="40"/>
            </w:pPr>
            <w:r>
              <w:rPr>
                <w:b/>
                <w:color w:val="005A9E"/>
                <w:sz w:val="18"/>
              </w:rPr>
              <w:t>FR-3</w:t>
            </w:r>
          </w:p>
        </w:tc>
        <w:tc>
          <w:tcPr>
            <w:tcW w:type="dxa" w:w="3600"/>
            <w:shd w:val="clear" w:color="auto" w:fill="FFFFFF"/>
            <w:tcMar>
              <w:top w:w="80" w:type="dxa"/>
              <w:bottom w:w="80" w:type="dxa"/>
              <w:left w:w="80" w:type="dxa"/>
              <w:right w:w="80" w:type="dxa"/>
            </w:tcMar>
          </w:tcPr>
          <w:p>
            <w:pPr>
              <w:spacing w:line="276" w:lineRule="auto" w:after="40"/>
            </w:pPr>
            <w:r>
              <w:rPr>
                <w:sz w:val="18"/>
              </w:rPr>
              <w:t>Form State &amp; Read-Only Governance</w:t>
            </w:r>
          </w:p>
        </w:tc>
        <w:tc>
          <w:tcPr>
            <w:tcW w:type="dxa" w:w="4752"/>
            <w:shd w:val="clear" w:color="auto" w:fill="FFFFFF"/>
            <w:tcMar>
              <w:top w:w="80" w:type="dxa"/>
              <w:bottom w:w="80" w:type="dxa"/>
              <w:left w:w="80" w:type="dxa"/>
              <w:right w:w="80" w:type="dxa"/>
            </w:tcMar>
          </w:tcPr>
          <w:p>
            <w:pPr>
              <w:spacing w:line="276" w:lineRule="auto" w:after="40"/>
            </w:pPr>
            <w:r>
              <w:rPr>
                <w:sz w:val="18"/>
              </w:rPr>
              <w:t>• Trigger UI Policy when Incident State changes to 'Closed'.</w:t>
              <w:br/>
              <w:t>• Automatically lock all form fields to Read-Only to preserve historical record integrity.</w:t>
              <w:br/>
              <w:t>• Prevent unauthorized post-closure modifications by non-admin users.</w:t>
            </w:r>
          </w:p>
        </w:tc>
      </w:tr>
      <w:tr>
        <w:tc>
          <w:tcPr>
            <w:tcW w:type="dxa" w:w="1440"/>
            <w:shd w:val="clear" w:color="auto" w:fill="F4F6F9"/>
            <w:tcMar>
              <w:top w:w="80" w:type="dxa"/>
              <w:bottom w:w="80" w:type="dxa"/>
              <w:left w:w="80" w:type="dxa"/>
              <w:right w:w="80" w:type="dxa"/>
            </w:tcMar>
          </w:tcPr>
          <w:p>
            <w:pPr>
              <w:spacing w:line="276" w:lineRule="auto" w:after="40"/>
            </w:pPr>
            <w:r>
              <w:rPr>
                <w:b/>
                <w:color w:val="005A9E"/>
                <w:sz w:val="18"/>
              </w:rPr>
              <w:t>FR-4</w:t>
            </w:r>
          </w:p>
        </w:tc>
        <w:tc>
          <w:tcPr>
            <w:tcW w:type="dxa" w:w="3600"/>
            <w:shd w:val="clear" w:color="auto" w:fill="F4F6F9"/>
            <w:tcMar>
              <w:top w:w="80" w:type="dxa"/>
              <w:bottom w:w="80" w:type="dxa"/>
              <w:left w:w="80" w:type="dxa"/>
              <w:right w:w="80" w:type="dxa"/>
            </w:tcMar>
          </w:tcPr>
          <w:p>
            <w:pPr>
              <w:spacing w:line="276" w:lineRule="auto" w:after="40"/>
            </w:pPr>
            <w:r>
              <w:rPr>
                <w:sz w:val="18"/>
              </w:rPr>
              <w:t>Real-Time Client Script Validation &amp; Automation</w:t>
            </w:r>
          </w:p>
        </w:tc>
        <w:tc>
          <w:tcPr>
            <w:tcW w:type="dxa" w:w="4752"/>
            <w:shd w:val="clear" w:color="auto" w:fill="F4F6F9"/>
            <w:tcMar>
              <w:top w:w="80" w:type="dxa"/>
              <w:bottom w:w="80" w:type="dxa"/>
              <w:left w:w="80" w:type="dxa"/>
              <w:right w:w="80" w:type="dxa"/>
            </w:tcMar>
          </w:tcPr>
          <w:p>
            <w:pPr>
              <w:spacing w:line="276" w:lineRule="auto" w:after="40"/>
            </w:pPr>
            <w:r>
              <w:rPr>
                <w:sz w:val="18"/>
              </w:rPr>
              <w:t>• onChange Client Script: Recalculate Priority dynamically when Impact or Urgency dropdown changes.</w:t>
              <w:br/>
              <w:t>• onChange Client Script: Display warning prompts and required diagnostic checks when Category is set to 'Hardware' or 'Network'.</w:t>
              <w:br/>
              <w:t>• onSubmit Client Script: Validate caller and assignment details before saving record.</w:t>
            </w:r>
          </w:p>
        </w:tc>
      </w:tr>
    </w:tbl>
    <w:p>
      <w:pPr>
        <w:spacing w:after="240"/>
      </w:pPr>
    </w:p>
    <w:p>
      <w:r>
        <w:rPr>
          <w:b/>
          <w:color w:val="1B365D"/>
          <w:sz w:val="28"/>
        </w:rPr>
        <w:t>Non-functional Requirements</w:t>
      </w:r>
    </w:p>
    <w:p>
      <w:pPr>
        <w:spacing w:after="160"/>
      </w:pPr>
      <w:r>
        <w:t>Following are the non-functional requirements of the proposed solution:</w:t>
      </w:r>
    </w:p>
    <w:tbl>
      <w:tblPr>
        <w:tblW w:type="auto" w:w="0"/>
        <w:jc w:val="center"/>
        <w:tblLook w:firstColumn="1" w:firstRow="1" w:lastColumn="0" w:lastRow="0" w:noHBand="0" w:noVBand="1" w:val="04A0"/>
      </w:tblPr>
      <w:tblGrid>
        <w:gridCol w:w="3312"/>
        <w:gridCol w:w="3312"/>
        <w:gridCol w:w="3312"/>
      </w:tblGrid>
      <w:tr>
        <w:tc>
          <w:tcPr>
            <w:tcW w:type="dxa" w:w="1440"/>
            <w:shd w:val="clear" w:color="auto" w:fill="1B365D"/>
            <w:tcMar>
              <w:top w:w="100" w:type="dxa"/>
              <w:bottom w:w="100" w:type="dxa"/>
              <w:left w:w="80" w:type="dxa"/>
              <w:right w:w="80" w:type="dxa"/>
            </w:tcMar>
          </w:tcPr>
          <w:p>
            <w:r>
              <w:rPr>
                <w:b/>
                <w:color w:val="FFFFFF"/>
                <w:sz w:val="19"/>
              </w:rPr>
              <w:t>NFR No.</w:t>
            </w:r>
          </w:p>
        </w:tc>
        <w:tc>
          <w:tcPr>
            <w:tcW w:type="dxa" w:w="3168"/>
            <w:shd w:val="clear" w:color="auto" w:fill="1B365D"/>
            <w:tcMar>
              <w:top w:w="100" w:type="dxa"/>
              <w:bottom w:w="100" w:type="dxa"/>
              <w:left w:w="80" w:type="dxa"/>
              <w:right w:w="80" w:type="dxa"/>
            </w:tcMar>
          </w:tcPr>
          <w:p>
            <w:r>
              <w:rPr>
                <w:b/>
                <w:color w:val="FFFFFF"/>
                <w:sz w:val="19"/>
              </w:rPr>
              <w:t>Non-Functional Requirement</w:t>
            </w:r>
          </w:p>
        </w:tc>
        <w:tc>
          <w:tcPr>
            <w:tcW w:type="dxa" w:w="5184"/>
            <w:shd w:val="clear" w:color="auto" w:fill="1B365D"/>
            <w:tcMar>
              <w:top w:w="100" w:type="dxa"/>
              <w:bottom w:w="100" w:type="dxa"/>
              <w:left w:w="80" w:type="dxa"/>
              <w:right w:w="80" w:type="dxa"/>
            </w:tcMar>
          </w:tcPr>
          <w:p>
            <w:r>
              <w:rPr>
                <w:b/>
                <w:color w:val="FFFFFF"/>
                <w:sz w:val="19"/>
              </w:rPr>
              <w:t>Description</w:t>
            </w:r>
          </w:p>
        </w:tc>
      </w:tr>
      <w:tr>
        <w:tc>
          <w:tcPr>
            <w:tcW w:type="dxa" w:w="1440"/>
            <w:shd w:val="clear" w:color="auto" w:fill="FFFFFF"/>
            <w:tcMar>
              <w:top w:w="80" w:type="dxa"/>
              <w:bottom w:w="80" w:type="dxa"/>
              <w:left w:w="80" w:type="dxa"/>
              <w:right w:w="80" w:type="dxa"/>
            </w:tcMar>
          </w:tcPr>
          <w:p>
            <w:pPr>
              <w:spacing w:line="276" w:lineRule="auto" w:after="40"/>
            </w:pPr>
            <w:r>
              <w:rPr>
                <w:b/>
                <w:color w:val="005A9E"/>
                <w:sz w:val="18"/>
              </w:rPr>
              <w:t>NFR-1</w:t>
            </w:r>
          </w:p>
        </w:tc>
        <w:tc>
          <w:tcPr>
            <w:tcW w:type="dxa" w:w="3168"/>
            <w:shd w:val="clear" w:color="auto" w:fill="FFFFFF"/>
            <w:tcMar>
              <w:top w:w="80" w:type="dxa"/>
              <w:bottom w:w="80" w:type="dxa"/>
              <w:left w:w="80" w:type="dxa"/>
              <w:right w:w="80" w:type="dxa"/>
            </w:tcMar>
          </w:tcPr>
          <w:p>
            <w:pPr>
              <w:spacing w:line="276" w:lineRule="auto" w:after="40"/>
            </w:pPr>
            <w:r>
              <w:rPr>
                <w:sz w:val="18"/>
              </w:rPr>
              <w:t>Usability</w:t>
            </w:r>
          </w:p>
        </w:tc>
        <w:tc>
          <w:tcPr>
            <w:tcW w:type="dxa" w:w="5184"/>
            <w:shd w:val="clear" w:color="auto" w:fill="FFFFFF"/>
            <w:tcMar>
              <w:top w:w="80" w:type="dxa"/>
              <w:bottom w:w="80" w:type="dxa"/>
              <w:left w:w="80" w:type="dxa"/>
              <w:right w:w="80" w:type="dxa"/>
            </w:tcMar>
          </w:tcPr>
          <w:p>
            <w:pPr>
              <w:spacing w:line="276" w:lineRule="auto" w:after="40"/>
            </w:pPr>
            <w:r>
              <w:rPr>
                <w:sz w:val="18"/>
              </w:rPr>
              <w:t>The UI Policy and Client Script layout must provide an intuitive user interface that reduces form clutter, highlights mandatory fields in real time, and requires minimal training for Service Desk Analysts.</w:t>
            </w:r>
          </w:p>
        </w:tc>
      </w:tr>
      <w:tr>
        <w:tc>
          <w:tcPr>
            <w:tcW w:type="dxa" w:w="1440"/>
            <w:shd w:val="clear" w:color="auto" w:fill="F4F6F9"/>
            <w:tcMar>
              <w:top w:w="80" w:type="dxa"/>
              <w:bottom w:w="80" w:type="dxa"/>
              <w:left w:w="80" w:type="dxa"/>
              <w:right w:w="80" w:type="dxa"/>
            </w:tcMar>
          </w:tcPr>
          <w:p>
            <w:pPr>
              <w:spacing w:line="276" w:lineRule="auto" w:after="40"/>
            </w:pPr>
            <w:r>
              <w:rPr>
                <w:b/>
                <w:color w:val="005A9E"/>
                <w:sz w:val="18"/>
              </w:rPr>
              <w:t>NFR-2</w:t>
            </w:r>
          </w:p>
        </w:tc>
        <w:tc>
          <w:tcPr>
            <w:tcW w:type="dxa" w:w="3168"/>
            <w:shd w:val="clear" w:color="auto" w:fill="F4F6F9"/>
            <w:tcMar>
              <w:top w:w="80" w:type="dxa"/>
              <w:bottom w:w="80" w:type="dxa"/>
              <w:left w:w="80" w:type="dxa"/>
              <w:right w:w="80" w:type="dxa"/>
            </w:tcMar>
          </w:tcPr>
          <w:p>
            <w:pPr>
              <w:spacing w:line="276" w:lineRule="auto" w:after="40"/>
            </w:pPr>
            <w:r>
              <w:rPr>
                <w:sz w:val="18"/>
              </w:rPr>
              <w:t>Security</w:t>
            </w:r>
          </w:p>
        </w:tc>
        <w:tc>
          <w:tcPr>
            <w:tcW w:type="dxa" w:w="5184"/>
            <w:shd w:val="clear" w:color="auto" w:fill="F4F6F9"/>
            <w:tcMar>
              <w:top w:w="80" w:type="dxa"/>
              <w:bottom w:w="80" w:type="dxa"/>
              <w:left w:w="80" w:type="dxa"/>
              <w:right w:w="80" w:type="dxa"/>
            </w:tcMar>
          </w:tcPr>
          <w:p>
            <w:pPr>
              <w:spacing w:line="276" w:lineRule="auto" w:after="40"/>
            </w:pPr>
            <w:r>
              <w:rPr>
                <w:sz w:val="18"/>
              </w:rPr>
              <w:t>Enforce Role-Based Access Control (RBAC) ensuring only authorized ITIL users can modify field states, while locking Closed incidents to Read-Only to guarantee audit compliance and data integrity.</w:t>
            </w:r>
          </w:p>
        </w:tc>
      </w:tr>
      <w:tr>
        <w:tc>
          <w:tcPr>
            <w:tcW w:type="dxa" w:w="1440"/>
            <w:shd w:val="clear" w:color="auto" w:fill="FFFFFF"/>
            <w:tcMar>
              <w:top w:w="80" w:type="dxa"/>
              <w:bottom w:w="80" w:type="dxa"/>
              <w:left w:w="80" w:type="dxa"/>
              <w:right w:w="80" w:type="dxa"/>
            </w:tcMar>
          </w:tcPr>
          <w:p>
            <w:pPr>
              <w:spacing w:line="276" w:lineRule="auto" w:after="40"/>
            </w:pPr>
            <w:r>
              <w:rPr>
                <w:b/>
                <w:color w:val="005A9E"/>
                <w:sz w:val="18"/>
              </w:rPr>
              <w:t>NFR-3</w:t>
            </w:r>
          </w:p>
        </w:tc>
        <w:tc>
          <w:tcPr>
            <w:tcW w:type="dxa" w:w="3168"/>
            <w:shd w:val="clear" w:color="auto" w:fill="FFFFFF"/>
            <w:tcMar>
              <w:top w:w="80" w:type="dxa"/>
              <w:bottom w:w="80" w:type="dxa"/>
              <w:left w:w="80" w:type="dxa"/>
              <w:right w:w="80" w:type="dxa"/>
            </w:tcMar>
          </w:tcPr>
          <w:p>
            <w:pPr>
              <w:spacing w:line="276" w:lineRule="auto" w:after="40"/>
            </w:pPr>
            <w:r>
              <w:rPr>
                <w:sz w:val="18"/>
              </w:rPr>
              <w:t>Reliability</w:t>
            </w:r>
          </w:p>
        </w:tc>
        <w:tc>
          <w:tcPr>
            <w:tcW w:type="dxa" w:w="5184"/>
            <w:shd w:val="clear" w:color="auto" w:fill="FFFFFF"/>
            <w:tcMar>
              <w:top w:w="80" w:type="dxa"/>
              <w:bottom w:w="80" w:type="dxa"/>
              <w:left w:w="80" w:type="dxa"/>
              <w:right w:w="80" w:type="dxa"/>
            </w:tcMar>
          </w:tcPr>
          <w:p>
            <w:pPr>
              <w:spacing w:line="276" w:lineRule="auto" w:after="40"/>
            </w:pPr>
            <w:r>
              <w:rPr>
                <w:sz w:val="18"/>
              </w:rPr>
              <w:t>Client Scripts and UI Policies must execute reliably across all major web browsers (Chrome, Edge, Firefox, Safari) without throwing JavaScript errors or breaking form state execution.</w:t>
            </w:r>
          </w:p>
        </w:tc>
      </w:tr>
      <w:tr>
        <w:tc>
          <w:tcPr>
            <w:tcW w:type="dxa" w:w="1440"/>
            <w:shd w:val="clear" w:color="auto" w:fill="F4F6F9"/>
            <w:tcMar>
              <w:top w:w="80" w:type="dxa"/>
              <w:bottom w:w="80" w:type="dxa"/>
              <w:left w:w="80" w:type="dxa"/>
              <w:right w:w="80" w:type="dxa"/>
            </w:tcMar>
          </w:tcPr>
          <w:p>
            <w:pPr>
              <w:spacing w:line="276" w:lineRule="auto" w:after="40"/>
            </w:pPr>
            <w:r>
              <w:rPr>
                <w:b/>
                <w:color w:val="005A9E"/>
                <w:sz w:val="18"/>
              </w:rPr>
              <w:t>NFR-4</w:t>
            </w:r>
          </w:p>
        </w:tc>
        <w:tc>
          <w:tcPr>
            <w:tcW w:type="dxa" w:w="3168"/>
            <w:shd w:val="clear" w:color="auto" w:fill="F4F6F9"/>
            <w:tcMar>
              <w:top w:w="80" w:type="dxa"/>
              <w:bottom w:w="80" w:type="dxa"/>
              <w:left w:w="80" w:type="dxa"/>
              <w:right w:w="80" w:type="dxa"/>
            </w:tcMar>
          </w:tcPr>
          <w:p>
            <w:pPr>
              <w:spacing w:line="276" w:lineRule="auto" w:after="40"/>
            </w:pPr>
            <w:r>
              <w:rPr>
                <w:sz w:val="18"/>
              </w:rPr>
              <w:t>Performance</w:t>
            </w:r>
          </w:p>
        </w:tc>
        <w:tc>
          <w:tcPr>
            <w:tcW w:type="dxa" w:w="5184"/>
            <w:shd w:val="clear" w:color="auto" w:fill="F4F6F9"/>
            <w:tcMar>
              <w:top w:w="80" w:type="dxa"/>
              <w:bottom w:w="80" w:type="dxa"/>
              <w:left w:w="80" w:type="dxa"/>
              <w:right w:w="80" w:type="dxa"/>
            </w:tcMar>
          </w:tcPr>
          <w:p>
            <w:pPr>
              <w:spacing w:line="276" w:lineRule="auto" w:after="40"/>
            </w:pPr>
            <w:r>
              <w:rPr>
                <w:sz w:val="18"/>
              </w:rPr>
              <w:t>Client-side evaluations must execute instantaneously (&lt; 200 ms) upon state changes or field updates without causing browser lag or unneeded server roundtrips.</w:t>
            </w:r>
          </w:p>
        </w:tc>
      </w:tr>
      <w:tr>
        <w:tc>
          <w:tcPr>
            <w:tcW w:type="dxa" w:w="1440"/>
            <w:shd w:val="clear" w:color="auto" w:fill="FFFFFF"/>
            <w:tcMar>
              <w:top w:w="80" w:type="dxa"/>
              <w:bottom w:w="80" w:type="dxa"/>
              <w:left w:w="80" w:type="dxa"/>
              <w:right w:w="80" w:type="dxa"/>
            </w:tcMar>
          </w:tcPr>
          <w:p>
            <w:pPr>
              <w:spacing w:line="276" w:lineRule="auto" w:after="40"/>
            </w:pPr>
            <w:r>
              <w:rPr>
                <w:b/>
                <w:color w:val="005A9E"/>
                <w:sz w:val="18"/>
              </w:rPr>
              <w:t>NFR-5</w:t>
            </w:r>
          </w:p>
        </w:tc>
        <w:tc>
          <w:tcPr>
            <w:tcW w:type="dxa" w:w="3168"/>
            <w:shd w:val="clear" w:color="auto" w:fill="FFFFFF"/>
            <w:tcMar>
              <w:top w:w="80" w:type="dxa"/>
              <w:bottom w:w="80" w:type="dxa"/>
              <w:left w:w="80" w:type="dxa"/>
              <w:right w:w="80" w:type="dxa"/>
            </w:tcMar>
          </w:tcPr>
          <w:p>
            <w:pPr>
              <w:spacing w:line="276" w:lineRule="auto" w:after="40"/>
            </w:pPr>
            <w:r>
              <w:rPr>
                <w:sz w:val="18"/>
              </w:rPr>
              <w:t>Availability</w:t>
            </w:r>
          </w:p>
        </w:tc>
        <w:tc>
          <w:tcPr>
            <w:tcW w:type="dxa" w:w="5184"/>
            <w:shd w:val="clear" w:color="auto" w:fill="FFFFFF"/>
            <w:tcMar>
              <w:top w:w="80" w:type="dxa"/>
              <w:bottom w:w="80" w:type="dxa"/>
              <w:left w:w="80" w:type="dxa"/>
              <w:right w:w="80" w:type="dxa"/>
            </w:tcMar>
          </w:tcPr>
          <w:p>
            <w:pPr>
              <w:spacing w:line="276" w:lineRule="auto" w:after="40"/>
            </w:pPr>
            <w:r>
              <w:rPr>
                <w:sz w:val="18"/>
              </w:rPr>
              <w:t>The dynamic UI scripts must be highly available as part of the primary ServiceNow cloud platform instance, offering 99.99% operational uptime.</w:t>
            </w:r>
          </w:p>
        </w:tc>
      </w:tr>
      <w:tr>
        <w:tc>
          <w:tcPr>
            <w:tcW w:type="dxa" w:w="1440"/>
            <w:shd w:val="clear" w:color="auto" w:fill="F4F6F9"/>
            <w:tcMar>
              <w:top w:w="80" w:type="dxa"/>
              <w:bottom w:w="80" w:type="dxa"/>
              <w:left w:w="80" w:type="dxa"/>
              <w:right w:w="80" w:type="dxa"/>
            </w:tcMar>
          </w:tcPr>
          <w:p>
            <w:pPr>
              <w:spacing w:line="276" w:lineRule="auto" w:after="40"/>
            </w:pPr>
            <w:r>
              <w:rPr>
                <w:b/>
                <w:color w:val="005A9E"/>
                <w:sz w:val="18"/>
              </w:rPr>
              <w:t>NFR-6</w:t>
            </w:r>
          </w:p>
        </w:tc>
        <w:tc>
          <w:tcPr>
            <w:tcW w:type="dxa" w:w="3168"/>
            <w:shd w:val="clear" w:color="auto" w:fill="F4F6F9"/>
            <w:tcMar>
              <w:top w:w="80" w:type="dxa"/>
              <w:bottom w:w="80" w:type="dxa"/>
              <w:left w:w="80" w:type="dxa"/>
              <w:right w:w="80" w:type="dxa"/>
            </w:tcMar>
          </w:tcPr>
          <w:p>
            <w:pPr>
              <w:spacing w:line="276" w:lineRule="auto" w:after="40"/>
            </w:pPr>
            <w:r>
              <w:rPr>
                <w:sz w:val="18"/>
              </w:rPr>
              <w:t>Scalability</w:t>
            </w:r>
          </w:p>
        </w:tc>
        <w:tc>
          <w:tcPr>
            <w:tcW w:type="dxa" w:w="5184"/>
            <w:shd w:val="clear" w:color="auto" w:fill="F4F6F9"/>
            <w:tcMar>
              <w:top w:w="80" w:type="dxa"/>
              <w:bottom w:w="80" w:type="dxa"/>
              <w:left w:w="80" w:type="dxa"/>
              <w:right w:w="80" w:type="dxa"/>
            </w:tcMar>
          </w:tcPr>
          <w:p>
            <w:pPr>
              <w:spacing w:line="276" w:lineRule="auto" w:after="40"/>
            </w:pPr>
            <w:r>
              <w:rPr>
                <w:sz w:val="18"/>
              </w:rPr>
              <w:t>The client-side logic must seamlessly handle thousands of concurrent support analyst sessions without degrading browser performance or instance response times.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